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20" w:rsidRPr="00FA69A1" w:rsidRDefault="00615620" w:rsidP="00615620">
      <w:pPr>
        <w:spacing w:after="120" w:line="240" w:lineRule="auto"/>
        <w:jc w:val="both"/>
      </w:pPr>
      <w:proofErr w:type="spellStart"/>
      <w:proofErr w:type="gramStart"/>
      <w:r w:rsidRPr="00FA69A1">
        <w:t>ბატონო</w:t>
      </w:r>
      <w:proofErr w:type="spellEnd"/>
      <w:proofErr w:type="gramEnd"/>
      <w:r w:rsidRPr="00FA69A1">
        <w:t xml:space="preserve"> </w:t>
      </w:r>
      <w:proofErr w:type="spellStart"/>
      <w:r w:rsidRPr="00FA69A1">
        <w:t>დავით</w:t>
      </w:r>
      <w:proofErr w:type="spellEnd"/>
      <w:r w:rsidRPr="00FA69A1">
        <w:t>,</w:t>
      </w:r>
    </w:p>
    <w:p w:rsidR="00615620" w:rsidRPr="00FA69A1" w:rsidRDefault="00615620" w:rsidP="00615620">
      <w:pPr>
        <w:spacing w:after="120" w:line="240" w:lineRule="auto"/>
        <w:jc w:val="both"/>
        <w:rPr>
          <w:rFonts w:ascii="Sylfaen" w:hAnsi="Sylfaen"/>
          <w:lang w:val="ka-GE"/>
        </w:rPr>
      </w:pPr>
      <w:proofErr w:type="spellStart"/>
      <w:proofErr w:type="gramStart"/>
      <w:r w:rsidRPr="00FA69A1">
        <w:rPr>
          <w:rFonts w:ascii="Sylfaen" w:hAnsi="Sylfaen"/>
        </w:rPr>
        <w:t>შეთანხმებისამებრ</w:t>
      </w:r>
      <w:proofErr w:type="spellEnd"/>
      <w:proofErr w:type="gramEnd"/>
      <w:r w:rsidRPr="00FA69A1">
        <w:rPr>
          <w:rFonts w:ascii="Sylfaen" w:hAnsi="Sylfaen"/>
        </w:rPr>
        <w:t xml:space="preserve"> </w:t>
      </w:r>
      <w:proofErr w:type="spellStart"/>
      <w:r w:rsidRPr="00FA69A1">
        <w:rPr>
          <w:rFonts w:ascii="Sylfaen" w:hAnsi="Sylfaen"/>
        </w:rPr>
        <w:t>გიგზავნით</w:t>
      </w:r>
      <w:proofErr w:type="spellEnd"/>
      <w:r w:rsidRPr="00FA69A1">
        <w:rPr>
          <w:rFonts w:ascii="Sylfaen" w:hAnsi="Sylfaen"/>
        </w:rPr>
        <w:t xml:space="preserve"> </w:t>
      </w:r>
      <w:r w:rsidR="009242E1" w:rsidRPr="00FA69A1">
        <w:rPr>
          <w:rFonts w:ascii="Sylfaen" w:hAnsi="Sylfaen"/>
          <w:lang w:val="ka-GE"/>
        </w:rPr>
        <w:t>დიაბეტი ტიპი 2-ის</w:t>
      </w:r>
      <w:r w:rsidRPr="00FA69A1">
        <w:rPr>
          <w:lang w:val="ka-GE"/>
        </w:rPr>
        <w:t xml:space="preserve"> კონტროლისათვის საჭირო მედიკამენტების ბიუჯეტირების დოკუმენტს.</w:t>
      </w:r>
      <w:r w:rsidR="003B717D" w:rsidRPr="00FA69A1">
        <w:rPr>
          <w:lang w:val="ka-GE"/>
        </w:rPr>
        <w:t xml:space="preserve"> დიაბეტი ტიპი 2 ერთერთი ყველაზე გავრცელებული არაგადამდები დაავადებაა, რომელსაც სერიოზული წვლილი აქვს ავადობის, ინვალიდობის და სიკვდილის განვითარებაში</w:t>
      </w:r>
    </w:p>
    <w:p w:rsidR="009242E1" w:rsidRPr="00FA69A1" w:rsidRDefault="00615620" w:rsidP="00615620">
      <w:pPr>
        <w:spacing w:after="120" w:line="240" w:lineRule="auto"/>
        <w:jc w:val="both"/>
        <w:rPr>
          <w:lang w:val="ka-GE"/>
        </w:rPr>
      </w:pPr>
      <w:r w:rsidRPr="00FA69A1">
        <w:rPr>
          <w:lang w:val="ka-GE"/>
        </w:rPr>
        <w:t>როგორც შევთანხმდით, სამიზნე პოპულაციად შეირჩა</w:t>
      </w:r>
      <w:r w:rsidR="007016BB" w:rsidRPr="00FA69A1">
        <w:rPr>
          <w:lang w:val="ka-GE"/>
        </w:rPr>
        <w:t>:</w:t>
      </w:r>
      <w:r w:rsidRPr="00FA69A1">
        <w:rPr>
          <w:lang w:val="ka-GE"/>
        </w:rPr>
        <w:t xml:space="preserve"> </w:t>
      </w:r>
      <w:r w:rsidR="009242E1" w:rsidRPr="00FA69A1">
        <w:rPr>
          <w:lang w:val="ka-GE"/>
        </w:rPr>
        <w:t xml:space="preserve">700 000 ასაკით პენსიონერი. </w:t>
      </w:r>
    </w:p>
    <w:p w:rsidR="00615620" w:rsidRPr="00FA69A1" w:rsidRDefault="00615620" w:rsidP="00615620">
      <w:pPr>
        <w:spacing w:after="120" w:line="240" w:lineRule="auto"/>
        <w:jc w:val="both"/>
        <w:rPr>
          <w:lang w:val="ka-GE"/>
        </w:rPr>
      </w:pPr>
      <w:r w:rsidRPr="00FA69A1">
        <w:rPr>
          <w:lang w:val="ka-GE"/>
        </w:rPr>
        <w:t>ჩვენი დაშვებები დაფუძნებულია  საქართველოში</w:t>
      </w:r>
      <w:r w:rsidR="009242E1" w:rsidRPr="00FA69A1">
        <w:rPr>
          <w:lang w:val="ka-GE"/>
        </w:rPr>
        <w:t xml:space="preserve"> 2017</w:t>
      </w:r>
      <w:r w:rsidRPr="00FA69A1">
        <w:rPr>
          <w:lang w:val="ka-GE"/>
        </w:rPr>
        <w:t xml:space="preserve"> წლისათვის არსებულ დაავადებათა გავრცელების (პრევალენსი) მაჩნებლებზე 100 000 მოსახლეზე (NCDC სტატისტიკური ცნობარი,</w:t>
      </w:r>
      <w:r w:rsidR="009242E1" w:rsidRPr="00FA69A1">
        <w:rPr>
          <w:lang w:val="ka-GE"/>
        </w:rPr>
        <w:t xml:space="preserve"> 2016</w:t>
      </w:r>
      <w:r w:rsidRPr="00FA69A1">
        <w:rPr>
          <w:lang w:val="ka-GE"/>
        </w:rPr>
        <w:t>) და საერთაშორისო კლინიკურ და ეპიდემიოლოგიურ მტკიცებულებებზე, მათ შორის მათზე, რომელიც ასახულია ეროვნულ კლინიკურ რეკომენდაციებში.</w:t>
      </w:r>
    </w:p>
    <w:p w:rsidR="003B717D" w:rsidRPr="00FA69A1" w:rsidRDefault="003B717D" w:rsidP="003B717D">
      <w:pPr>
        <w:spacing w:after="120" w:line="240" w:lineRule="auto"/>
        <w:jc w:val="both"/>
        <w:rPr>
          <w:lang w:val="ka-GE"/>
        </w:rPr>
      </w:pPr>
      <w:r w:rsidRPr="00FA69A1">
        <w:rPr>
          <w:lang w:val="ka-GE"/>
        </w:rPr>
        <w:t xml:space="preserve">მედიკამენტებისა და დოზების შერჩევა მოხდა იმ ესენციური მედიკამენტების ნუსხიდან, რომლებიც თანამედროვე კლინიკური რეკომენდაციებით გამოიყენება აღნიშნული დაავადების ქრონიკული მედიკამეტური მკურნალობისათვის რუტინულ ამბულატორიულ კლინიკურ პრაქტიკაში. დამყოლობის მაჩვენებლად, </w:t>
      </w:r>
      <w:r w:rsidRPr="00FA69A1">
        <w:rPr>
          <w:rFonts w:ascii="Sylfaen" w:eastAsia="Times New Roman" w:hAnsi="Sylfaen" w:cs="Times New Roman"/>
          <w:color w:val="000000"/>
          <w:lang w:val="ka-GE" w:eastAsia="ka-GE"/>
        </w:rPr>
        <w:t xml:space="preserve">მედიკამენტური მკურნალობის სერვისებზე ბენეფიციართა (პაციენტთა) დამყოლობის მაჩვენებლად დაშვებულია 80% - საშუალოზე მაღალი მაჩვენებელი, რაც დაფუძნებულია შემდეგ დაშვებაზე: დადგენილი დიაბეტის მქონე პენსიონერ (ხანდაზმული ასაკის) პაციენტთა დამყოლობა მედიკამენტურ მკურნლობაზე, კერძოდ მეტფორმინზე მაღალია (90-95%), სულფანილშარდოვანას შემთხვევაში (გლიკლაზიდი) კი საშუალოდ 70-75%. </w:t>
      </w:r>
      <w:r w:rsidRPr="00FA69A1">
        <w:rPr>
          <w:lang w:val="ka-GE"/>
        </w:rPr>
        <w:t>საშუალო დღიური დოზა შეესაბამება მიზნობრივი დაავადებების ხანგრძლივი მედიკამენტური მართვისთვის რეკომედებულ დოზებს (ჩვეულებრივ ყველაზე ხშრი დოზირების რეჟიმია 500მგ 2-ჯერ დღეში (ანუ 1000მგ დღეში) ან 1000მგ 2-ჯერ დღეში (ანუ 2000მგ დღეში) - ამდენად საშუალოდ ავიღეთ 1500მგ.</w:t>
      </w:r>
    </w:p>
    <w:p w:rsidR="003B717D" w:rsidRPr="00FA69A1" w:rsidRDefault="003B717D" w:rsidP="003B717D">
      <w:pPr>
        <w:spacing w:after="120" w:line="240" w:lineRule="auto"/>
        <w:jc w:val="both"/>
        <w:rPr>
          <w:lang w:val="ka-GE"/>
        </w:rPr>
      </w:pPr>
      <w:r w:rsidRPr="00FA69A1">
        <w:rPr>
          <w:lang w:val="ka-GE"/>
        </w:rPr>
        <w:lastRenderedPageBreak/>
        <w:t>ფასის დადგენისთვის შერჩეულია სააფთიაქო ქსელში დღეს არსებული ჯენერიკული მედიკამენტის მომწოდებელი ევროპული ფარმაცევტული კომპანიების მედიკამენტებზე დადგენილი ფასები.</w:t>
      </w:r>
    </w:p>
    <w:p w:rsidR="003B717D" w:rsidRPr="00FA69A1" w:rsidRDefault="003B717D" w:rsidP="003B717D">
      <w:pPr>
        <w:spacing w:after="120" w:line="240" w:lineRule="auto"/>
        <w:jc w:val="both"/>
        <w:rPr>
          <w:lang w:val="ka-GE"/>
        </w:rPr>
      </w:pPr>
      <w:r w:rsidRPr="00FA69A1">
        <w:rPr>
          <w:rFonts w:ascii="Sylfaen" w:hAnsi="Sylfaen"/>
          <w:lang w:val="ka-GE"/>
        </w:rPr>
        <w:t>ამ ეტაპზე დიაბეტი ტიპი 2-ის</w:t>
      </w:r>
      <w:r w:rsidRPr="00FA69A1">
        <w:rPr>
          <w:lang w:val="ka-GE"/>
        </w:rPr>
        <w:t xml:space="preserve"> ეპიდემიოლოგიური მაჩვენებლები მიზნობრივი პოპულაციისათვის შესწავლილი არ არის. ამდენად, პოტენციური ბენეფიციარების რაოდენობის გადათვლისას გამოყენებული იქნა დაავადების გავრცელების აქტუალური მაჩვენებლები, რომლებიც მოწოდებულია ქვეყნის საერთო პოპულაციისთვის და ასევე სხვადასხვა საერთაშორისო ორგანიზაციის მიერ გამოქვეყნებული ანგარიშების მონაცემები. ამგვარად, გაკეთდა გათვლების 3 სხვადასხვა ვარიანტი.</w:t>
      </w:r>
    </w:p>
    <w:p w:rsidR="003B717D" w:rsidRPr="00FA69A1" w:rsidRDefault="003B717D" w:rsidP="00962B3A">
      <w:pPr>
        <w:spacing w:after="120" w:line="240" w:lineRule="auto"/>
        <w:jc w:val="both"/>
        <w:rPr>
          <w:lang w:val="ka-GE"/>
        </w:rPr>
      </w:pPr>
    </w:p>
    <w:p w:rsidR="009242E1" w:rsidRPr="00FA69A1" w:rsidRDefault="009242E1" w:rsidP="00962B3A">
      <w:pPr>
        <w:spacing w:after="120" w:line="240" w:lineRule="auto"/>
        <w:jc w:val="both"/>
        <w:rPr>
          <w:lang w:val="ka-GE"/>
        </w:rPr>
      </w:pPr>
      <w:r w:rsidRPr="00FA69A1">
        <w:rPr>
          <w:lang w:val="ka-GE"/>
        </w:rPr>
        <w:t>ვარიანტი 1.</w:t>
      </w:r>
    </w:p>
    <w:p w:rsidR="009242E1" w:rsidRPr="00FA69A1" w:rsidRDefault="009242E1" w:rsidP="00962B3A">
      <w:pPr>
        <w:spacing w:after="120" w:line="240" w:lineRule="auto"/>
        <w:jc w:val="both"/>
        <w:rPr>
          <w:lang w:val="ka-GE"/>
        </w:rPr>
      </w:pPr>
      <w:r w:rsidRPr="00FA69A1">
        <w:rPr>
          <w:lang w:val="ka-GE"/>
        </w:rPr>
        <w:t>დაშვებები დაფუძნებულია  საქართველოში 2016 წლისათვის არსებულ დაავადებათა გავრცელების მაჩვენებლებზე 100000 მოსახლეზე (NCDC სტატისტიკური ცნობარი 2016) - პრევალენსი შეადგენს 1777.5/1000000</w:t>
      </w:r>
      <w:r w:rsidR="003B717D" w:rsidRPr="00FA69A1">
        <w:rPr>
          <w:lang w:val="ka-GE"/>
        </w:rPr>
        <w:t xml:space="preserve"> მოსახლეზე</w:t>
      </w:r>
      <w:r w:rsidRPr="00FA69A1">
        <w:rPr>
          <w:lang w:val="ka-GE"/>
        </w:rPr>
        <w:t>, ინსიდენსი შეადგენს 407.3/100000</w:t>
      </w:r>
      <w:r w:rsidR="003B717D" w:rsidRPr="00FA69A1">
        <w:rPr>
          <w:lang w:val="ka-GE"/>
        </w:rPr>
        <w:t xml:space="preserve"> მოსახლეზე</w:t>
      </w:r>
      <w:r w:rsidRPr="00FA69A1">
        <w:rPr>
          <w:lang w:val="ka-GE"/>
        </w:rPr>
        <w:t xml:space="preserve">; და საერთაშორისო კლინიკურ და ეპიდემიოლოგიურ მტკიცებულებებზე, მათ შორის ასახულზე ეროვნულ კლინიკურ რეკომენდაციებში. </w:t>
      </w:r>
      <w:r w:rsidR="003B717D" w:rsidRPr="00FA69A1">
        <w:rPr>
          <w:lang w:val="ka-GE"/>
        </w:rPr>
        <w:t xml:space="preserve">დიაბეტის საერთაშორისო ორგანიზაციის </w:t>
      </w:r>
      <w:r w:rsidRPr="00FA69A1">
        <w:rPr>
          <w:lang w:val="ka-GE"/>
        </w:rPr>
        <w:t xml:space="preserve">IDF DIABETES ATLAS - Country summary table: estimates for 2017-ის </w:t>
      </w:r>
      <w:r w:rsidR="00EF4D49" w:rsidRPr="00FA69A1">
        <w:rPr>
          <w:lang w:val="ka-GE"/>
        </w:rPr>
        <w:t>(</w:t>
      </w:r>
      <w:r w:rsidR="00F148A2">
        <w:fldChar w:fldCharType="begin"/>
      </w:r>
      <w:r w:rsidR="00F148A2" w:rsidRPr="00622255">
        <w:rPr>
          <w:lang w:val="ka-GE"/>
        </w:rPr>
        <w:instrText xml:space="preserve"> HYPERLINK "https://www.idf.org/e-library/epidemiology-research/diabetes-atlas.html" </w:instrText>
      </w:r>
      <w:r w:rsidR="00F148A2">
        <w:fldChar w:fldCharType="separate"/>
      </w:r>
      <w:r w:rsidR="00EF4D49" w:rsidRPr="00FA69A1">
        <w:rPr>
          <w:rStyle w:val="Hyperlink"/>
          <w:lang w:val="ka-GE"/>
        </w:rPr>
        <w:t>https://www.idf.org/e-library/epidemiology-research/diabetes-atlas.html</w:t>
      </w:r>
      <w:r w:rsidR="00F148A2">
        <w:rPr>
          <w:rStyle w:val="Hyperlink"/>
          <w:lang w:val="ka-GE"/>
        </w:rPr>
        <w:fldChar w:fldCharType="end"/>
      </w:r>
      <w:r w:rsidR="00EF4D49" w:rsidRPr="00FA69A1">
        <w:rPr>
          <w:lang w:val="ka-GE"/>
        </w:rPr>
        <w:t xml:space="preserve">) </w:t>
      </w:r>
      <w:r w:rsidRPr="00FA69A1">
        <w:rPr>
          <w:lang w:val="ka-GE"/>
        </w:rPr>
        <w:t xml:space="preserve">მიხედვით დიაბეტის გავრცელება &gt;60 წლის მოსახლეობაში </w:t>
      </w:r>
      <w:r w:rsidR="003B717D" w:rsidRPr="00FA69A1">
        <w:rPr>
          <w:lang w:val="ka-GE"/>
        </w:rPr>
        <w:t xml:space="preserve">საქართველოში </w:t>
      </w:r>
      <w:r w:rsidRPr="00FA69A1">
        <w:rPr>
          <w:lang w:val="ka-GE"/>
        </w:rPr>
        <w:t>შეადგენს 11.64%-ს, ამ დაშვების გამოყენებით 700 000 ასაკით პენსიონერიდან 700 000 * 11.64% = 81</w:t>
      </w:r>
      <w:r w:rsidR="00DC6A13" w:rsidRPr="00FA69A1">
        <w:rPr>
          <w:lang w:val="ka-GE"/>
        </w:rPr>
        <w:t xml:space="preserve"> </w:t>
      </w:r>
      <w:r w:rsidRPr="00FA69A1">
        <w:rPr>
          <w:lang w:val="ka-GE"/>
        </w:rPr>
        <w:t>480</w:t>
      </w:r>
      <w:r w:rsidR="003B717D" w:rsidRPr="00FA69A1">
        <w:rPr>
          <w:lang w:val="ka-GE"/>
        </w:rPr>
        <w:t xml:space="preserve"> პროგრამის მომავალი სავარაუდო ბენეფიციარია - მიზნობრივი პოპულაცია.</w:t>
      </w:r>
    </w:p>
    <w:p w:rsidR="003B717D" w:rsidRPr="00FA69A1" w:rsidRDefault="003B717D" w:rsidP="003B717D">
      <w:pPr>
        <w:spacing w:after="120" w:line="240" w:lineRule="auto"/>
        <w:jc w:val="both"/>
        <w:rPr>
          <w:lang w:val="ka-GE"/>
        </w:rPr>
      </w:pPr>
      <w:r w:rsidRPr="00FA69A1">
        <w:rPr>
          <w:lang w:val="ka-GE"/>
        </w:rPr>
        <w:t>აღნიშნული დაშვებების გათვალისწინებით მივიღეთ შემდეგი შედეგი. ქვემოთ მოყვანილ ცხრილში მოცემულია მედიკამენტების ცალკეული ფორმების საჭირო რაოდენობები ერთი წლის განმავლობაში.</w:t>
      </w:r>
    </w:p>
    <w:p w:rsidR="00FA69A1" w:rsidRDefault="00FA69A1" w:rsidP="00430378">
      <w:pPr>
        <w:jc w:val="both"/>
        <w:rPr>
          <w:lang w:val="ka-GE"/>
        </w:rPr>
      </w:pPr>
    </w:p>
    <w:p w:rsidR="00FA69A1" w:rsidRDefault="00FA69A1" w:rsidP="00430378">
      <w:pPr>
        <w:jc w:val="both"/>
        <w:rPr>
          <w:lang w:val="ka-GE"/>
        </w:rPr>
      </w:pPr>
    </w:p>
    <w:p w:rsidR="00FA69A1" w:rsidRDefault="00FA69A1" w:rsidP="00430378">
      <w:pPr>
        <w:jc w:val="both"/>
        <w:rPr>
          <w:lang w:val="ka-GE"/>
        </w:rPr>
      </w:pPr>
    </w:p>
    <w:p w:rsidR="00FA69A1" w:rsidRDefault="00FA69A1" w:rsidP="00430378">
      <w:pPr>
        <w:jc w:val="both"/>
        <w:rPr>
          <w:lang w:val="ka-GE"/>
        </w:rPr>
      </w:pPr>
    </w:p>
    <w:p w:rsidR="003B717D" w:rsidRPr="00FA69A1" w:rsidRDefault="003B717D" w:rsidP="00430378">
      <w:pPr>
        <w:jc w:val="both"/>
      </w:pPr>
      <w:r w:rsidRPr="00FA69A1">
        <w:rPr>
          <w:lang w:val="ka-GE"/>
        </w:rPr>
        <w:t>დიაბეტი ტიპი 2-ით</w:t>
      </w:r>
      <w:r w:rsidRPr="00FA69A1">
        <w:t xml:space="preserve"> </w:t>
      </w:r>
      <w:proofErr w:type="spellStart"/>
      <w:r w:rsidRPr="00FA69A1">
        <w:t>დაავადებულ</w:t>
      </w:r>
      <w:proofErr w:type="spellEnd"/>
      <w:r w:rsidRPr="00FA69A1">
        <w:t xml:space="preserve"> </w:t>
      </w:r>
      <w:proofErr w:type="spellStart"/>
      <w:r w:rsidRPr="00FA69A1">
        <w:t>პაციენტთა</w:t>
      </w:r>
      <w:proofErr w:type="spellEnd"/>
      <w:r w:rsidRPr="00FA69A1">
        <w:t xml:space="preserve"> </w:t>
      </w:r>
      <w:proofErr w:type="spellStart"/>
      <w:r w:rsidRPr="00FA69A1">
        <w:t>წამლით</w:t>
      </w:r>
      <w:proofErr w:type="spellEnd"/>
      <w:r w:rsidRPr="00FA69A1">
        <w:t xml:space="preserve"> </w:t>
      </w:r>
      <w:proofErr w:type="spellStart"/>
      <w:r w:rsidRPr="00FA69A1">
        <w:t>უზრუნველყოფის</w:t>
      </w:r>
      <w:proofErr w:type="spellEnd"/>
      <w:r w:rsidRPr="00FA69A1">
        <w:t xml:space="preserve"> </w:t>
      </w:r>
      <w:proofErr w:type="spellStart"/>
      <w:r w:rsidRPr="00FA69A1">
        <w:t>კომპონენტისთვის</w:t>
      </w:r>
      <w:proofErr w:type="spellEnd"/>
      <w:r w:rsidRPr="00FA69A1">
        <w:t xml:space="preserve"> </w:t>
      </w:r>
      <w:proofErr w:type="spellStart"/>
      <w:r w:rsidRPr="00FA69A1">
        <w:t>საჭირო</w:t>
      </w:r>
      <w:proofErr w:type="spellEnd"/>
      <w:r w:rsidRPr="00FA69A1">
        <w:t xml:space="preserve"> </w:t>
      </w:r>
      <w:proofErr w:type="spellStart"/>
      <w:r w:rsidRPr="00FA69A1">
        <w:t>მედიკამენტების</w:t>
      </w:r>
      <w:proofErr w:type="spellEnd"/>
      <w:r w:rsidRPr="00FA69A1">
        <w:t xml:space="preserve"> </w:t>
      </w:r>
      <w:proofErr w:type="spellStart"/>
      <w:r w:rsidRPr="00FA69A1">
        <w:t>წლიური</w:t>
      </w:r>
      <w:proofErr w:type="spellEnd"/>
      <w:r w:rsidRPr="00FA69A1">
        <w:t xml:space="preserve"> </w:t>
      </w:r>
      <w:proofErr w:type="spellStart"/>
      <w:r w:rsidRPr="00FA69A1">
        <w:t>რაოდენობა</w:t>
      </w:r>
      <w:proofErr w:type="spellEnd"/>
    </w:p>
    <w:tbl>
      <w:tblPr>
        <w:tblStyle w:val="TableGridLight"/>
        <w:tblW w:w="10060" w:type="dxa"/>
        <w:jc w:val="center"/>
        <w:tblLayout w:type="fixed"/>
        <w:tblLook w:val="04A0" w:firstRow="1" w:lastRow="0" w:firstColumn="1" w:lastColumn="0" w:noHBand="0" w:noVBand="1"/>
      </w:tblPr>
      <w:tblGrid>
        <w:gridCol w:w="1702"/>
        <w:gridCol w:w="1701"/>
        <w:gridCol w:w="1979"/>
        <w:gridCol w:w="1276"/>
        <w:gridCol w:w="3402"/>
      </w:tblGrid>
      <w:tr w:rsidR="003B717D" w:rsidRPr="00FA69A1" w:rsidTr="00FA69A1">
        <w:trPr>
          <w:trHeight w:val="1026"/>
          <w:jc w:val="center"/>
        </w:trPr>
        <w:tc>
          <w:tcPr>
            <w:tcW w:w="1702"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მედიკამეტი</w:t>
            </w:r>
          </w:p>
        </w:tc>
        <w:tc>
          <w:tcPr>
            <w:tcW w:w="1701"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მიზნობრიობა</w:t>
            </w:r>
          </w:p>
        </w:tc>
        <w:tc>
          <w:tcPr>
            <w:tcW w:w="1979" w:type="dxa"/>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ბიუჯეტირებადი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ერთეული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მგ</w:t>
            </w:r>
            <w:r w:rsidRPr="00FA69A1">
              <w:rPr>
                <w:rFonts w:ascii="Calibri" w:eastAsia="Times New Roman" w:hAnsi="Calibri" w:cs="Calibri"/>
                <w:lang w:val="ka-GE" w:eastAsia="ka-GE"/>
              </w:rPr>
              <w:t>-</w:t>
            </w:r>
            <w:r w:rsidRPr="00FA69A1">
              <w:rPr>
                <w:rFonts w:ascii="Sylfaen" w:eastAsia="Times New Roman" w:hAnsi="Sylfaen" w:cs="Sylfaen"/>
                <w:lang w:val="ka-GE" w:eastAsia="ka-GE"/>
              </w:rPr>
              <w:t>იანი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ტაბლეტი</w:t>
            </w:r>
            <w:r w:rsidRPr="00FA69A1">
              <w:rPr>
                <w:rFonts w:ascii="Calibri" w:eastAsia="Times New Roman" w:hAnsi="Calibri" w:cs="Calibri"/>
                <w:lang w:val="ka-GE" w:eastAsia="ka-GE"/>
              </w:rPr>
              <w:t>)</w:t>
            </w:r>
          </w:p>
        </w:tc>
        <w:tc>
          <w:tcPr>
            <w:tcW w:w="1276" w:type="dxa"/>
            <w:vAlign w:val="center"/>
            <w:hideMark/>
          </w:tcPr>
          <w:p w:rsidR="003B717D" w:rsidRPr="00FA69A1" w:rsidRDefault="003B717D" w:rsidP="00EA57F2">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წლიური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ლარში</w:t>
            </w:r>
          </w:p>
        </w:tc>
        <w:tc>
          <w:tcPr>
            <w:tcW w:w="3402" w:type="dxa"/>
            <w:vAlign w:val="center"/>
            <w:hideMark/>
          </w:tcPr>
          <w:p w:rsidR="003B717D" w:rsidRPr="00FA69A1" w:rsidRDefault="003B717D" w:rsidP="00EA57F2">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მოთხოვნილი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ბიუჯეტირებადი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ერთეული</w:t>
            </w:r>
            <w:r w:rsidRPr="00FA69A1">
              <w:rPr>
                <w:rFonts w:ascii="Calibri" w:eastAsia="Times New Roman" w:hAnsi="Calibri" w:cs="Calibri"/>
                <w:bCs/>
                <w:lang w:val="ka-GE" w:eastAsia="ka-GE"/>
              </w:rPr>
              <w:t xml:space="preserve"> 1 </w:t>
            </w:r>
            <w:r w:rsidRPr="00FA69A1">
              <w:rPr>
                <w:rFonts w:ascii="Sylfaen" w:eastAsia="Times New Roman" w:hAnsi="Sylfaen" w:cs="Sylfaen"/>
                <w:bCs/>
                <w:lang w:val="ka-GE" w:eastAsia="ka-GE"/>
              </w:rPr>
              <w:t>წლის</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განმავლობაში</w:t>
            </w:r>
            <w:r w:rsidRPr="00FA69A1">
              <w:rPr>
                <w:rFonts w:ascii="Calibri" w:eastAsia="Times New Roman" w:hAnsi="Calibri" w:cs="Calibri"/>
                <w:bCs/>
                <w:lang w:val="ka-GE" w:eastAsia="ka-GE"/>
              </w:rPr>
              <w:t xml:space="preserve">  (n </w:t>
            </w:r>
            <w:r w:rsidRPr="00FA69A1">
              <w:rPr>
                <w:rFonts w:ascii="Sylfaen" w:eastAsia="Times New Roman" w:hAnsi="Sylfaen" w:cs="Sylfaen"/>
                <w:bCs/>
                <w:lang w:val="ka-GE" w:eastAsia="ka-GE"/>
              </w:rPr>
              <w:t>ტაბლეტი</w:t>
            </w:r>
            <w:r w:rsidRPr="00FA69A1">
              <w:rPr>
                <w:rFonts w:ascii="Calibri" w:eastAsia="Times New Roman" w:hAnsi="Calibri" w:cs="Calibri"/>
                <w:bCs/>
                <w:lang w:val="ka-GE" w:eastAsia="ka-GE"/>
              </w:rPr>
              <w:t>)</w:t>
            </w:r>
          </w:p>
        </w:tc>
      </w:tr>
      <w:tr w:rsidR="003B717D" w:rsidRPr="00FA69A1" w:rsidTr="00FA69A1">
        <w:trPr>
          <w:trHeight w:val="300"/>
          <w:jc w:val="center"/>
        </w:trPr>
        <w:tc>
          <w:tcPr>
            <w:tcW w:w="1702"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მეტფორმინი</w:t>
            </w:r>
          </w:p>
        </w:tc>
        <w:tc>
          <w:tcPr>
            <w:tcW w:w="1701"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979"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Calibri" w:eastAsia="Times New Roman" w:hAnsi="Calibri" w:cs="Calibri"/>
                <w:lang w:val="ka-GE" w:eastAsia="ka-GE"/>
              </w:rPr>
              <w:t>1000</w:t>
            </w:r>
          </w:p>
        </w:tc>
        <w:tc>
          <w:tcPr>
            <w:tcW w:w="1276" w:type="dxa"/>
            <w:noWrap/>
            <w:vAlign w:val="center"/>
            <w:hideMark/>
          </w:tcPr>
          <w:p w:rsidR="003B717D" w:rsidRPr="00FA69A1" w:rsidRDefault="004458A9" w:rsidP="00EA57F2">
            <w:pPr>
              <w:jc w:val="center"/>
              <w:rPr>
                <w:rFonts w:ascii="Calibri" w:hAnsi="Calibri" w:cs="Calibri"/>
                <w:color w:val="000000"/>
                <w:lang w:val="ka-GE"/>
              </w:rPr>
            </w:pPr>
            <w:r w:rsidRPr="00FA69A1">
              <w:rPr>
                <w:rFonts w:ascii="Calibri" w:hAnsi="Calibri" w:cs="Calibri"/>
                <w:color w:val="000000"/>
                <w:lang w:val="ka-GE"/>
              </w:rPr>
              <w:t>3</w:t>
            </w:r>
            <w:r w:rsidR="00DC6A13" w:rsidRPr="00FA69A1">
              <w:rPr>
                <w:rFonts w:cs="Calibri"/>
                <w:color w:val="000000"/>
                <w:lang w:val="ka-GE"/>
              </w:rPr>
              <w:t xml:space="preserve"> </w:t>
            </w:r>
            <w:r w:rsidRPr="00FA69A1">
              <w:rPr>
                <w:rFonts w:ascii="Calibri" w:hAnsi="Calibri" w:cs="Calibri"/>
                <w:color w:val="000000"/>
                <w:lang w:val="ka-GE"/>
              </w:rPr>
              <w:t>607</w:t>
            </w:r>
            <w:r w:rsidR="00DC6A13" w:rsidRPr="00FA69A1">
              <w:rPr>
                <w:rFonts w:cs="Calibri"/>
                <w:color w:val="000000"/>
                <w:lang w:val="ka-GE"/>
              </w:rPr>
              <w:t xml:space="preserve"> </w:t>
            </w:r>
            <w:r w:rsidRPr="00FA69A1">
              <w:rPr>
                <w:rFonts w:ascii="Calibri" w:hAnsi="Calibri" w:cs="Calibri"/>
                <w:color w:val="000000"/>
                <w:lang w:val="ka-GE"/>
              </w:rPr>
              <w:t>367</w:t>
            </w:r>
          </w:p>
        </w:tc>
        <w:tc>
          <w:tcPr>
            <w:tcW w:w="3402" w:type="dxa"/>
            <w:noWrap/>
            <w:vAlign w:val="center"/>
            <w:hideMark/>
          </w:tcPr>
          <w:p w:rsidR="003B717D" w:rsidRPr="00FA69A1" w:rsidRDefault="004458A9" w:rsidP="00EA57F2">
            <w:pPr>
              <w:jc w:val="center"/>
              <w:rPr>
                <w:rFonts w:ascii="Calibri" w:eastAsia="Times New Roman" w:hAnsi="Calibri" w:cs="Calibri"/>
                <w:lang w:val="ka-GE" w:eastAsia="ka-GE"/>
              </w:rPr>
            </w:pPr>
            <w:r w:rsidRPr="00FA69A1">
              <w:rPr>
                <w:rFonts w:ascii="Calibri" w:eastAsia="Times New Roman" w:hAnsi="Calibri" w:cs="Calibri"/>
                <w:lang w:val="ka-GE" w:eastAsia="ka-GE"/>
              </w:rPr>
              <w:t>547.5</w:t>
            </w:r>
          </w:p>
        </w:tc>
      </w:tr>
      <w:tr w:rsidR="003B717D" w:rsidRPr="00FA69A1" w:rsidTr="00FA69A1">
        <w:trPr>
          <w:trHeight w:val="300"/>
          <w:jc w:val="center"/>
        </w:trPr>
        <w:tc>
          <w:tcPr>
            <w:tcW w:w="1702"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გლიკლაზიდი</w:t>
            </w:r>
          </w:p>
        </w:tc>
        <w:tc>
          <w:tcPr>
            <w:tcW w:w="1701"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979" w:type="dxa"/>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Calibri" w:eastAsia="Times New Roman" w:hAnsi="Calibri" w:cs="Calibri"/>
                <w:lang w:val="ka-GE" w:eastAsia="ka-GE"/>
              </w:rPr>
              <w:t>60</w:t>
            </w:r>
          </w:p>
        </w:tc>
        <w:tc>
          <w:tcPr>
            <w:tcW w:w="1276" w:type="dxa"/>
            <w:noWrap/>
            <w:vAlign w:val="center"/>
            <w:hideMark/>
          </w:tcPr>
          <w:p w:rsidR="003B717D" w:rsidRPr="00FA69A1" w:rsidRDefault="004458A9" w:rsidP="00EA57F2">
            <w:pPr>
              <w:jc w:val="center"/>
              <w:rPr>
                <w:rFonts w:ascii="Calibri" w:hAnsi="Calibri" w:cs="Calibri"/>
                <w:color w:val="000000"/>
                <w:lang w:val="ka-GE"/>
              </w:rPr>
            </w:pPr>
            <w:r w:rsidRPr="00FA69A1">
              <w:rPr>
                <w:rFonts w:ascii="Calibri" w:hAnsi="Calibri" w:cs="Calibri"/>
                <w:color w:val="000000"/>
                <w:lang w:val="ka-GE"/>
              </w:rPr>
              <w:t>4</w:t>
            </w:r>
            <w:r w:rsidR="00DC6A13" w:rsidRPr="00FA69A1">
              <w:rPr>
                <w:rFonts w:cs="Calibri"/>
                <w:color w:val="000000"/>
                <w:lang w:val="ka-GE"/>
              </w:rPr>
              <w:t xml:space="preserve"> </w:t>
            </w:r>
            <w:r w:rsidRPr="00FA69A1">
              <w:rPr>
                <w:rFonts w:ascii="Calibri" w:hAnsi="Calibri" w:cs="Calibri"/>
                <w:color w:val="000000"/>
                <w:lang w:val="ka-GE"/>
              </w:rPr>
              <w:t>286</w:t>
            </w:r>
            <w:r w:rsidR="00DC6A13" w:rsidRPr="00FA69A1">
              <w:rPr>
                <w:rFonts w:cs="Calibri"/>
                <w:color w:val="000000"/>
                <w:lang w:val="ka-GE"/>
              </w:rPr>
              <w:t xml:space="preserve"> </w:t>
            </w:r>
            <w:r w:rsidRPr="00FA69A1">
              <w:rPr>
                <w:rFonts w:ascii="Calibri" w:hAnsi="Calibri" w:cs="Calibri"/>
                <w:color w:val="000000"/>
                <w:lang w:val="ka-GE"/>
              </w:rPr>
              <w:t>253</w:t>
            </w:r>
          </w:p>
        </w:tc>
        <w:tc>
          <w:tcPr>
            <w:tcW w:w="3402" w:type="dxa"/>
            <w:noWrap/>
            <w:vAlign w:val="center"/>
            <w:hideMark/>
          </w:tcPr>
          <w:p w:rsidR="003B717D" w:rsidRPr="00FA69A1" w:rsidRDefault="004458A9" w:rsidP="004458A9">
            <w:pPr>
              <w:jc w:val="center"/>
              <w:rPr>
                <w:rFonts w:ascii="Calibri" w:eastAsia="Times New Roman" w:hAnsi="Calibri" w:cs="Calibri"/>
                <w:lang w:val="ka-GE" w:eastAsia="ka-GE"/>
              </w:rPr>
            </w:pPr>
            <w:r w:rsidRPr="00FA69A1">
              <w:rPr>
                <w:rFonts w:ascii="Calibri" w:eastAsia="Times New Roman" w:hAnsi="Calibri" w:cs="Calibri"/>
                <w:lang w:val="ka-GE" w:eastAsia="ka-GE"/>
              </w:rPr>
              <w:t>365</w:t>
            </w:r>
            <w:r w:rsidR="003B717D" w:rsidRPr="00FA69A1">
              <w:rPr>
                <w:rFonts w:ascii="Calibri" w:eastAsia="Times New Roman" w:hAnsi="Calibri" w:cs="Calibri"/>
                <w:lang w:val="ka-GE" w:eastAsia="ka-GE"/>
              </w:rPr>
              <w:t>,</w:t>
            </w:r>
            <w:r w:rsidRPr="00FA69A1">
              <w:rPr>
                <w:rFonts w:ascii="Calibri" w:eastAsia="Times New Roman" w:hAnsi="Calibri" w:cs="Calibri"/>
                <w:lang w:val="ka-GE" w:eastAsia="ka-GE"/>
              </w:rPr>
              <w:t>0</w:t>
            </w:r>
          </w:p>
        </w:tc>
      </w:tr>
      <w:tr w:rsidR="003B717D" w:rsidRPr="00FA69A1" w:rsidTr="00FA69A1">
        <w:trPr>
          <w:trHeight w:val="420"/>
          <w:jc w:val="center"/>
        </w:trPr>
        <w:tc>
          <w:tcPr>
            <w:tcW w:w="5382" w:type="dxa"/>
            <w:gridSpan w:val="3"/>
            <w:noWrap/>
            <w:vAlign w:val="center"/>
            <w:hideMark/>
          </w:tcPr>
          <w:p w:rsidR="003B717D" w:rsidRPr="00FA69A1" w:rsidRDefault="003B717D" w:rsidP="00EA57F2">
            <w:pPr>
              <w:jc w:val="center"/>
              <w:rPr>
                <w:rFonts w:ascii="Calibri" w:eastAsia="Times New Roman" w:hAnsi="Calibri" w:cs="Calibri"/>
                <w:lang w:val="ka-GE" w:eastAsia="ka-GE"/>
              </w:rPr>
            </w:pPr>
            <w:r w:rsidRPr="00FA69A1">
              <w:rPr>
                <w:rFonts w:ascii="Sylfaen" w:eastAsia="Times New Roman" w:hAnsi="Sylfaen" w:cs="Sylfaen"/>
                <w:lang w:val="ka-GE" w:eastAsia="ka-GE"/>
              </w:rPr>
              <w:t>სულ</w:t>
            </w:r>
          </w:p>
        </w:tc>
        <w:tc>
          <w:tcPr>
            <w:tcW w:w="1276" w:type="dxa"/>
            <w:noWrap/>
            <w:vAlign w:val="center"/>
            <w:hideMark/>
          </w:tcPr>
          <w:p w:rsidR="003B717D" w:rsidRPr="00FA69A1" w:rsidRDefault="004458A9" w:rsidP="00EA57F2">
            <w:pPr>
              <w:jc w:val="center"/>
              <w:rPr>
                <w:rFonts w:cs="Calibri"/>
                <w:bCs/>
                <w:color w:val="FF0000"/>
                <w:lang w:val="ka-GE"/>
              </w:rPr>
            </w:pPr>
            <w:r w:rsidRPr="00FA69A1">
              <w:rPr>
                <w:rFonts w:ascii="Calibri" w:hAnsi="Calibri" w:cs="Calibri"/>
                <w:color w:val="000000"/>
                <w:lang w:val="ka-GE"/>
              </w:rPr>
              <w:t>7893620</w:t>
            </w:r>
          </w:p>
        </w:tc>
        <w:tc>
          <w:tcPr>
            <w:tcW w:w="3402" w:type="dxa"/>
            <w:noWrap/>
            <w:vAlign w:val="center"/>
            <w:hideMark/>
          </w:tcPr>
          <w:p w:rsidR="003B717D" w:rsidRPr="00FA69A1" w:rsidRDefault="003B717D" w:rsidP="00EA57F2">
            <w:pPr>
              <w:jc w:val="center"/>
              <w:rPr>
                <w:rFonts w:ascii="Calibri" w:eastAsia="Times New Roman" w:hAnsi="Calibri" w:cs="Calibri"/>
                <w:bCs/>
                <w:lang w:val="ka-GE" w:eastAsia="ka-GE"/>
              </w:rPr>
            </w:pPr>
          </w:p>
        </w:tc>
      </w:tr>
    </w:tbl>
    <w:p w:rsidR="003B717D" w:rsidRDefault="003B717D" w:rsidP="00962B3A">
      <w:pPr>
        <w:spacing w:after="120" w:line="240" w:lineRule="auto"/>
        <w:jc w:val="both"/>
        <w:rPr>
          <w:lang w:val="ka-GE"/>
        </w:rPr>
      </w:pPr>
    </w:p>
    <w:p w:rsidR="00FA69A1" w:rsidRDefault="00FA69A1" w:rsidP="004458A9">
      <w:pPr>
        <w:spacing w:after="120" w:line="240" w:lineRule="auto"/>
        <w:jc w:val="both"/>
        <w:rPr>
          <w:lang w:val="ka-GE"/>
        </w:rPr>
      </w:pPr>
    </w:p>
    <w:p w:rsidR="004458A9" w:rsidRPr="00FA69A1" w:rsidRDefault="004458A9" w:rsidP="004458A9">
      <w:pPr>
        <w:spacing w:after="120" w:line="240" w:lineRule="auto"/>
        <w:jc w:val="both"/>
        <w:rPr>
          <w:lang w:val="ka-GE"/>
        </w:rPr>
      </w:pPr>
      <w:r w:rsidRPr="00FA69A1">
        <w:rPr>
          <w:lang w:val="ka-GE"/>
        </w:rPr>
        <w:t>ვარიანტი 2.</w:t>
      </w:r>
    </w:p>
    <w:p w:rsidR="00EF4D49" w:rsidRPr="00FA69A1" w:rsidRDefault="00EF4D49" w:rsidP="004458A9">
      <w:pPr>
        <w:spacing w:after="120" w:line="240" w:lineRule="auto"/>
        <w:jc w:val="both"/>
        <w:rPr>
          <w:lang w:val="ka-GE"/>
        </w:rPr>
      </w:pPr>
      <w:r w:rsidRPr="00FA69A1">
        <w:rPr>
          <w:lang w:val="ka-GE"/>
        </w:rPr>
        <w:t xml:space="preserve">დაშვებები დაფუძნებულია ჯანმო-ს Global Report on Diabetes (© World Health Organization 2016. </w:t>
      </w:r>
      <w:hyperlink r:id="rId7" w:history="1">
        <w:r w:rsidRPr="00FA69A1">
          <w:rPr>
            <w:rStyle w:val="Hyperlink"/>
            <w:lang w:val="ka-GE"/>
          </w:rPr>
          <w:t>http://www.who.int/about/licensing/copyright_form/index.html</w:t>
        </w:r>
      </w:hyperlink>
      <w:r w:rsidRPr="00FA69A1">
        <w:rPr>
          <w:lang w:val="ka-GE"/>
        </w:rPr>
        <w:t xml:space="preserve">  მონაცემებზე  და საერთაშორისო კლინიკურ და ეპიდემიოლოგიურ მტკიცებულებებზე, მათ შორის ასახულზე ეროვნულ კლინიკურ რეკომენდაციებში</w:t>
      </w:r>
    </w:p>
    <w:p w:rsidR="00EA48DC" w:rsidRPr="00FA69A1" w:rsidRDefault="00EA48DC" w:rsidP="004458A9">
      <w:pPr>
        <w:spacing w:after="120" w:line="240" w:lineRule="auto"/>
        <w:jc w:val="both"/>
        <w:rPr>
          <w:lang w:val="ka-GE"/>
        </w:rPr>
      </w:pPr>
      <w:r w:rsidRPr="00FA69A1">
        <w:rPr>
          <w:lang w:val="ka-GE"/>
        </w:rPr>
        <w:t xml:space="preserve">პოტენციური ბენეფიციარების რაოდენობის გადათვლისას გამოყენებული იქნა ჯანმოს გლობალური ანგარიში. ვგულისხმობთ, რომ დიაბეტის პრევალენსი საქართველოს მოსახლეობაში არის 13.7% (Eastern Mediterranean </w:t>
      </w:r>
      <w:r w:rsidRPr="00FA69A1">
        <w:rPr>
          <w:lang w:val="ka-GE"/>
        </w:rPr>
        <w:lastRenderedPageBreak/>
        <w:t>Region-ისთვის გათვლილი მონაცემების მიხედვით) და რომ ამათგან 90%-ს აქვს დიბეტი ტიპი2. WHO გლობალური ანგარიშის მიხედვით დიაბეტი ტიპი 2-ის ზუსტი გავრცელება უცნობია. ამ პარამეტრების მიხედთვით დღეისათვის დიაბეტი ტიპი 2-ით პირების სავარაუდო რაოდენობა უნდა შეადგენდეს: 3</w:t>
      </w:r>
      <w:r w:rsidR="00DC6A13" w:rsidRPr="00FA69A1">
        <w:rPr>
          <w:lang w:val="ka-GE"/>
        </w:rPr>
        <w:t xml:space="preserve"> </w:t>
      </w:r>
      <w:r w:rsidRPr="00FA69A1">
        <w:rPr>
          <w:lang w:val="ka-GE"/>
        </w:rPr>
        <w:t>718</w:t>
      </w:r>
      <w:r w:rsidR="00DC6A13" w:rsidRPr="00FA69A1">
        <w:rPr>
          <w:lang w:val="ka-GE"/>
        </w:rPr>
        <w:t xml:space="preserve"> </w:t>
      </w:r>
      <w:r w:rsidRPr="00FA69A1">
        <w:rPr>
          <w:lang w:val="ka-GE"/>
        </w:rPr>
        <w:t xml:space="preserve">200 (საქართველოს მოსახელობის რაოდენობა) * 0,137 * 0,9 = </w:t>
      </w:r>
      <w:r w:rsidR="00DC6A13" w:rsidRPr="00FA69A1">
        <w:rPr>
          <w:lang w:val="ka-GE"/>
        </w:rPr>
        <w:t xml:space="preserve">458 454 </w:t>
      </w:r>
    </w:p>
    <w:p w:rsidR="00DC6A13" w:rsidRPr="00FA69A1" w:rsidRDefault="00DC6A13" w:rsidP="00DC6A13">
      <w:pPr>
        <w:spacing w:after="120" w:line="240" w:lineRule="auto"/>
        <w:jc w:val="both"/>
        <w:rPr>
          <w:lang w:val="ka-GE"/>
        </w:rPr>
      </w:pPr>
      <w:r w:rsidRPr="00FA69A1">
        <w:rPr>
          <w:lang w:val="ka-GE"/>
        </w:rPr>
        <w:t xml:space="preserve">თუ ადრე ითვლებოდა, რომ დიაბეტი ტიპი 2 უპირატესად შუა და ხანდაზმული ასაკის მოსახლეობაში გვხვდებოდა, ბოლო 4 დეკადის განმავლობაში მისი გავრცელება მაღალია ახალგაზრდებშიც. ამასთანავე, არადიაგნოსტირებული პაციენტების წილი, რომლებიც მკურნალობას არ იტარებს ძალზედ მაღალია - 24-62%. აქედან გამომდინარე, ვგულისხმობთ, რომ ექიმს მიაკითხავს და იმკურნალებს 38%. </w:t>
      </w:r>
    </w:p>
    <w:p w:rsidR="00DC6A13" w:rsidRPr="00FA69A1" w:rsidRDefault="00DC6A13" w:rsidP="00DC6A13">
      <w:pPr>
        <w:spacing w:after="120" w:line="240" w:lineRule="auto"/>
        <w:jc w:val="both"/>
        <w:rPr>
          <w:lang w:val="ka-GE"/>
        </w:rPr>
      </w:pPr>
      <w:r w:rsidRPr="00FA69A1">
        <w:rPr>
          <w:lang w:val="ka-GE"/>
        </w:rPr>
        <w:t>ზემოთ აღნიშნული გათვლებით საქართველოსთვის დადგენილი შემთხვევები სავარაუდოდ გაითვლება, როგორც 458</w:t>
      </w:r>
      <w:r w:rsidR="00430378" w:rsidRPr="00FA69A1">
        <w:rPr>
          <w:lang w:val="ka-GE"/>
        </w:rPr>
        <w:t xml:space="preserve"> </w:t>
      </w:r>
      <w:r w:rsidRPr="00FA69A1">
        <w:rPr>
          <w:lang w:val="ka-GE"/>
        </w:rPr>
        <w:t>454 * 0.38 = 174 213 პროგრამის მომავალი სავარაუდო ბენეფიციარი - მიზნობრივი პოპულაცია.</w:t>
      </w:r>
    </w:p>
    <w:p w:rsidR="004458A9" w:rsidRPr="00FA69A1" w:rsidRDefault="004458A9" w:rsidP="004458A9">
      <w:pPr>
        <w:spacing w:after="120" w:line="240" w:lineRule="auto"/>
        <w:jc w:val="both"/>
        <w:rPr>
          <w:lang w:val="ka-GE"/>
        </w:rPr>
      </w:pPr>
      <w:r w:rsidRPr="00FA69A1">
        <w:rPr>
          <w:lang w:val="ka-GE"/>
        </w:rPr>
        <w:t>აღნიშნული დაშვებების გათვალისწინებით მივიღეთ შემდეგი შედეგი. ქვემოთ მოყვანილ ცხრილში მოცემულია მედიკამენტების ცალკეული ფორმების საჭირო რაოდენობები ერთი წლის განმავლობაში.</w:t>
      </w:r>
    </w:p>
    <w:p w:rsidR="004458A9" w:rsidRPr="00FA69A1" w:rsidRDefault="004458A9" w:rsidP="00430378">
      <w:pPr>
        <w:jc w:val="both"/>
      </w:pPr>
      <w:r w:rsidRPr="00FA69A1">
        <w:rPr>
          <w:lang w:val="ka-GE"/>
        </w:rPr>
        <w:t>დიაბეტი ტიპი 2-ით</w:t>
      </w:r>
      <w:r w:rsidRPr="00FA69A1">
        <w:t xml:space="preserve"> </w:t>
      </w:r>
      <w:proofErr w:type="spellStart"/>
      <w:r w:rsidRPr="00FA69A1">
        <w:t>დაავადებულ</w:t>
      </w:r>
      <w:proofErr w:type="spellEnd"/>
      <w:r w:rsidRPr="00FA69A1">
        <w:t xml:space="preserve"> </w:t>
      </w:r>
      <w:proofErr w:type="spellStart"/>
      <w:r w:rsidRPr="00FA69A1">
        <w:t>პაციენტთა</w:t>
      </w:r>
      <w:proofErr w:type="spellEnd"/>
      <w:r w:rsidRPr="00FA69A1">
        <w:t xml:space="preserve"> </w:t>
      </w:r>
      <w:proofErr w:type="spellStart"/>
      <w:r w:rsidRPr="00FA69A1">
        <w:t>წამლით</w:t>
      </w:r>
      <w:proofErr w:type="spellEnd"/>
      <w:r w:rsidRPr="00FA69A1">
        <w:t xml:space="preserve"> </w:t>
      </w:r>
      <w:proofErr w:type="spellStart"/>
      <w:r w:rsidRPr="00FA69A1">
        <w:t>უზრუნველყოფის</w:t>
      </w:r>
      <w:proofErr w:type="spellEnd"/>
      <w:r w:rsidRPr="00FA69A1">
        <w:t xml:space="preserve"> </w:t>
      </w:r>
      <w:proofErr w:type="spellStart"/>
      <w:r w:rsidRPr="00FA69A1">
        <w:t>კომპონენტისთვის</w:t>
      </w:r>
      <w:proofErr w:type="spellEnd"/>
      <w:r w:rsidRPr="00FA69A1">
        <w:t xml:space="preserve"> </w:t>
      </w:r>
      <w:proofErr w:type="spellStart"/>
      <w:r w:rsidRPr="00FA69A1">
        <w:t>საჭირო</w:t>
      </w:r>
      <w:proofErr w:type="spellEnd"/>
      <w:r w:rsidRPr="00FA69A1">
        <w:t xml:space="preserve"> </w:t>
      </w:r>
      <w:proofErr w:type="spellStart"/>
      <w:r w:rsidRPr="00FA69A1">
        <w:t>მედიკამენტების</w:t>
      </w:r>
      <w:proofErr w:type="spellEnd"/>
      <w:r w:rsidRPr="00FA69A1">
        <w:t xml:space="preserve"> </w:t>
      </w:r>
      <w:proofErr w:type="spellStart"/>
      <w:r w:rsidRPr="00FA69A1">
        <w:t>წლიური</w:t>
      </w:r>
      <w:proofErr w:type="spellEnd"/>
      <w:r w:rsidRPr="00FA69A1">
        <w:t xml:space="preserve"> </w:t>
      </w:r>
      <w:proofErr w:type="spellStart"/>
      <w:r w:rsidRPr="00FA69A1">
        <w:t>რაოდენობა</w:t>
      </w:r>
      <w:proofErr w:type="spellEnd"/>
    </w:p>
    <w:tbl>
      <w:tblPr>
        <w:tblStyle w:val="TableGridLight"/>
        <w:tblW w:w="10060" w:type="dxa"/>
        <w:jc w:val="center"/>
        <w:tblLayout w:type="fixed"/>
        <w:tblLook w:val="04A0" w:firstRow="1" w:lastRow="0" w:firstColumn="1" w:lastColumn="0" w:noHBand="0" w:noVBand="1"/>
      </w:tblPr>
      <w:tblGrid>
        <w:gridCol w:w="1702"/>
        <w:gridCol w:w="1701"/>
        <w:gridCol w:w="1979"/>
        <w:gridCol w:w="1276"/>
        <w:gridCol w:w="3402"/>
      </w:tblGrid>
      <w:tr w:rsidR="004458A9" w:rsidRPr="00FA69A1" w:rsidTr="00FA69A1">
        <w:trPr>
          <w:trHeight w:val="1026"/>
          <w:jc w:val="center"/>
        </w:trPr>
        <w:tc>
          <w:tcPr>
            <w:tcW w:w="1702"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მედიკამეტი</w:t>
            </w:r>
          </w:p>
        </w:tc>
        <w:tc>
          <w:tcPr>
            <w:tcW w:w="1701"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მიზნობრიობა</w:t>
            </w:r>
          </w:p>
        </w:tc>
        <w:tc>
          <w:tcPr>
            <w:tcW w:w="1979" w:type="dxa"/>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ბიუჯეტირებადი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ერთეული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მგ</w:t>
            </w:r>
            <w:r w:rsidRPr="00FA69A1">
              <w:rPr>
                <w:rFonts w:ascii="Calibri" w:eastAsia="Times New Roman" w:hAnsi="Calibri" w:cs="Calibri"/>
                <w:lang w:val="ka-GE" w:eastAsia="ka-GE"/>
              </w:rPr>
              <w:t>-</w:t>
            </w:r>
            <w:r w:rsidRPr="00FA69A1">
              <w:rPr>
                <w:rFonts w:ascii="Sylfaen" w:eastAsia="Times New Roman" w:hAnsi="Sylfaen" w:cs="Sylfaen"/>
                <w:lang w:val="ka-GE" w:eastAsia="ka-GE"/>
              </w:rPr>
              <w:t>იანი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ტაბლეტი</w:t>
            </w:r>
            <w:r w:rsidRPr="00FA69A1">
              <w:rPr>
                <w:rFonts w:ascii="Calibri" w:eastAsia="Times New Roman" w:hAnsi="Calibri" w:cs="Calibri"/>
                <w:lang w:val="ka-GE" w:eastAsia="ka-GE"/>
              </w:rPr>
              <w:t>)</w:t>
            </w:r>
          </w:p>
        </w:tc>
        <w:tc>
          <w:tcPr>
            <w:tcW w:w="1276" w:type="dxa"/>
            <w:vAlign w:val="center"/>
            <w:hideMark/>
          </w:tcPr>
          <w:p w:rsidR="004458A9" w:rsidRPr="00FA69A1" w:rsidRDefault="004458A9" w:rsidP="0015397A">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წლიური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ლარში</w:t>
            </w:r>
          </w:p>
        </w:tc>
        <w:tc>
          <w:tcPr>
            <w:tcW w:w="3402" w:type="dxa"/>
            <w:vAlign w:val="center"/>
            <w:hideMark/>
          </w:tcPr>
          <w:p w:rsidR="004458A9" w:rsidRPr="00FA69A1" w:rsidRDefault="004458A9" w:rsidP="0015397A">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მოთხოვნილი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ბიუჯეტირებადი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ერთეული</w:t>
            </w:r>
            <w:r w:rsidRPr="00FA69A1">
              <w:rPr>
                <w:rFonts w:ascii="Calibri" w:eastAsia="Times New Roman" w:hAnsi="Calibri" w:cs="Calibri"/>
                <w:bCs/>
                <w:lang w:val="ka-GE" w:eastAsia="ka-GE"/>
              </w:rPr>
              <w:t xml:space="preserve"> 1 </w:t>
            </w:r>
            <w:r w:rsidRPr="00FA69A1">
              <w:rPr>
                <w:rFonts w:ascii="Sylfaen" w:eastAsia="Times New Roman" w:hAnsi="Sylfaen" w:cs="Sylfaen"/>
                <w:bCs/>
                <w:lang w:val="ka-GE" w:eastAsia="ka-GE"/>
              </w:rPr>
              <w:t>წლის</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განმავლობაში</w:t>
            </w:r>
            <w:r w:rsidRPr="00FA69A1">
              <w:rPr>
                <w:rFonts w:ascii="Calibri" w:eastAsia="Times New Roman" w:hAnsi="Calibri" w:cs="Calibri"/>
                <w:bCs/>
                <w:lang w:val="ka-GE" w:eastAsia="ka-GE"/>
              </w:rPr>
              <w:t xml:space="preserve">  (n </w:t>
            </w:r>
            <w:r w:rsidRPr="00FA69A1">
              <w:rPr>
                <w:rFonts w:ascii="Sylfaen" w:eastAsia="Times New Roman" w:hAnsi="Sylfaen" w:cs="Sylfaen"/>
                <w:bCs/>
                <w:lang w:val="ka-GE" w:eastAsia="ka-GE"/>
              </w:rPr>
              <w:t>ტაბლეტი</w:t>
            </w:r>
            <w:r w:rsidRPr="00FA69A1">
              <w:rPr>
                <w:rFonts w:ascii="Calibri" w:eastAsia="Times New Roman" w:hAnsi="Calibri" w:cs="Calibri"/>
                <w:bCs/>
                <w:lang w:val="ka-GE" w:eastAsia="ka-GE"/>
              </w:rPr>
              <w:t>)</w:t>
            </w:r>
          </w:p>
        </w:tc>
      </w:tr>
      <w:tr w:rsidR="004458A9" w:rsidRPr="00FA69A1" w:rsidTr="00FA69A1">
        <w:trPr>
          <w:trHeight w:val="300"/>
          <w:jc w:val="center"/>
        </w:trPr>
        <w:tc>
          <w:tcPr>
            <w:tcW w:w="1702"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მეტფორმინი</w:t>
            </w:r>
          </w:p>
        </w:tc>
        <w:tc>
          <w:tcPr>
            <w:tcW w:w="1701"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979"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1000</w:t>
            </w:r>
          </w:p>
        </w:tc>
        <w:tc>
          <w:tcPr>
            <w:tcW w:w="1276" w:type="dxa"/>
            <w:noWrap/>
            <w:vAlign w:val="center"/>
            <w:hideMark/>
          </w:tcPr>
          <w:p w:rsidR="004458A9" w:rsidRPr="00FA69A1" w:rsidRDefault="00DC6A13" w:rsidP="0015397A">
            <w:pPr>
              <w:jc w:val="center"/>
              <w:rPr>
                <w:rFonts w:ascii="Calibri" w:hAnsi="Calibri" w:cs="Calibri"/>
                <w:color w:val="000000"/>
                <w:lang w:val="ka-GE"/>
              </w:rPr>
            </w:pPr>
            <w:r w:rsidRPr="00FA69A1">
              <w:rPr>
                <w:rFonts w:ascii="Calibri" w:hAnsi="Calibri" w:cs="Calibri"/>
                <w:color w:val="000000"/>
                <w:lang w:val="ka-GE"/>
              </w:rPr>
              <w:t>7 712 919</w:t>
            </w:r>
          </w:p>
        </w:tc>
        <w:tc>
          <w:tcPr>
            <w:tcW w:w="3402"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547.5</w:t>
            </w:r>
          </w:p>
        </w:tc>
      </w:tr>
      <w:tr w:rsidR="004458A9" w:rsidRPr="00FA69A1" w:rsidTr="00FA69A1">
        <w:trPr>
          <w:trHeight w:val="300"/>
          <w:jc w:val="center"/>
        </w:trPr>
        <w:tc>
          <w:tcPr>
            <w:tcW w:w="1702"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გლიკლაზიდი</w:t>
            </w:r>
          </w:p>
        </w:tc>
        <w:tc>
          <w:tcPr>
            <w:tcW w:w="1701"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979"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60</w:t>
            </w:r>
          </w:p>
        </w:tc>
        <w:tc>
          <w:tcPr>
            <w:tcW w:w="1276" w:type="dxa"/>
            <w:noWrap/>
            <w:vAlign w:val="center"/>
            <w:hideMark/>
          </w:tcPr>
          <w:p w:rsidR="004458A9" w:rsidRPr="00FA69A1" w:rsidRDefault="00DC6A13" w:rsidP="0015397A">
            <w:pPr>
              <w:jc w:val="center"/>
              <w:rPr>
                <w:rFonts w:ascii="Calibri" w:hAnsi="Calibri" w:cs="Calibri"/>
                <w:color w:val="000000"/>
                <w:lang w:val="ka-GE"/>
              </w:rPr>
            </w:pPr>
            <w:r w:rsidRPr="00FA69A1">
              <w:rPr>
                <w:rFonts w:ascii="Calibri" w:hAnsi="Calibri" w:cs="Calibri"/>
                <w:color w:val="000000"/>
                <w:lang w:val="ka-GE"/>
              </w:rPr>
              <w:t>9 164 445</w:t>
            </w:r>
          </w:p>
        </w:tc>
        <w:tc>
          <w:tcPr>
            <w:tcW w:w="3402" w:type="dxa"/>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365,0</w:t>
            </w:r>
          </w:p>
        </w:tc>
      </w:tr>
      <w:tr w:rsidR="004458A9" w:rsidRPr="00FA69A1" w:rsidTr="00FA69A1">
        <w:trPr>
          <w:trHeight w:val="420"/>
          <w:jc w:val="center"/>
        </w:trPr>
        <w:tc>
          <w:tcPr>
            <w:tcW w:w="5382" w:type="dxa"/>
            <w:gridSpan w:val="3"/>
            <w:noWrap/>
            <w:vAlign w:val="center"/>
            <w:hideMark/>
          </w:tcPr>
          <w:p w:rsidR="004458A9" w:rsidRPr="00FA69A1" w:rsidRDefault="004458A9"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სულ</w:t>
            </w:r>
          </w:p>
        </w:tc>
        <w:tc>
          <w:tcPr>
            <w:tcW w:w="1276" w:type="dxa"/>
            <w:noWrap/>
            <w:vAlign w:val="center"/>
            <w:hideMark/>
          </w:tcPr>
          <w:p w:rsidR="004458A9" w:rsidRPr="00FA69A1" w:rsidRDefault="00DC6A13" w:rsidP="00DC6A13">
            <w:pPr>
              <w:jc w:val="center"/>
              <w:rPr>
                <w:rFonts w:ascii="Calibri" w:hAnsi="Calibri" w:cs="Calibri"/>
                <w:bCs/>
                <w:color w:val="FF0000"/>
                <w:lang w:val="ka-GE"/>
              </w:rPr>
            </w:pPr>
            <w:r w:rsidRPr="00FA69A1">
              <w:rPr>
                <w:rFonts w:ascii="Calibri" w:hAnsi="Calibri" w:cs="Calibri"/>
                <w:color w:val="000000"/>
                <w:lang w:val="ka-GE"/>
              </w:rPr>
              <w:t>16 877 364</w:t>
            </w:r>
          </w:p>
        </w:tc>
        <w:tc>
          <w:tcPr>
            <w:tcW w:w="3402" w:type="dxa"/>
            <w:noWrap/>
            <w:vAlign w:val="center"/>
            <w:hideMark/>
          </w:tcPr>
          <w:p w:rsidR="004458A9" w:rsidRPr="00FA69A1" w:rsidRDefault="004458A9" w:rsidP="0015397A">
            <w:pPr>
              <w:jc w:val="center"/>
              <w:rPr>
                <w:rFonts w:ascii="Calibri" w:eastAsia="Times New Roman" w:hAnsi="Calibri" w:cs="Calibri"/>
                <w:bCs/>
                <w:lang w:val="ka-GE" w:eastAsia="ka-GE"/>
              </w:rPr>
            </w:pPr>
          </w:p>
        </w:tc>
      </w:tr>
    </w:tbl>
    <w:p w:rsidR="004458A9" w:rsidRDefault="004458A9" w:rsidP="004458A9">
      <w:pPr>
        <w:spacing w:after="120" w:line="240" w:lineRule="auto"/>
        <w:jc w:val="both"/>
        <w:rPr>
          <w:lang w:val="ka-GE"/>
        </w:rPr>
      </w:pPr>
    </w:p>
    <w:p w:rsidR="00FA69A1" w:rsidRDefault="00FA69A1" w:rsidP="004458A9">
      <w:pPr>
        <w:spacing w:after="120" w:line="240" w:lineRule="auto"/>
        <w:jc w:val="both"/>
        <w:rPr>
          <w:lang w:val="ka-GE"/>
        </w:rPr>
      </w:pPr>
    </w:p>
    <w:p w:rsidR="00FA69A1" w:rsidRPr="00FA69A1" w:rsidRDefault="00FA69A1" w:rsidP="004458A9">
      <w:pPr>
        <w:spacing w:after="120" w:line="240" w:lineRule="auto"/>
        <w:jc w:val="both"/>
        <w:rPr>
          <w:lang w:val="ka-GE"/>
        </w:rPr>
      </w:pPr>
    </w:p>
    <w:p w:rsidR="00DC6A13" w:rsidRPr="00FA69A1" w:rsidRDefault="00DC6A13" w:rsidP="00DC6A13">
      <w:pPr>
        <w:spacing w:after="120" w:line="240" w:lineRule="auto"/>
        <w:jc w:val="both"/>
        <w:rPr>
          <w:lang w:val="ka-GE"/>
        </w:rPr>
      </w:pPr>
      <w:r w:rsidRPr="00FA69A1">
        <w:rPr>
          <w:lang w:val="ka-GE"/>
        </w:rPr>
        <w:t>ვარიანტი 3.</w:t>
      </w:r>
    </w:p>
    <w:p w:rsidR="00DC6A13" w:rsidRPr="00FA69A1" w:rsidRDefault="00DC6A13" w:rsidP="00DC6A13">
      <w:pPr>
        <w:spacing w:after="120" w:line="240" w:lineRule="auto"/>
        <w:jc w:val="both"/>
        <w:rPr>
          <w:lang w:val="ka-GE"/>
        </w:rPr>
      </w:pPr>
      <w:r w:rsidRPr="00FA69A1">
        <w:rPr>
          <w:lang w:val="ka-GE"/>
        </w:rPr>
        <w:t xml:space="preserve">დაშვებები დაფუძნებულია ჯანმო-ს Global Report on Diabetes (© World Health Organization 2016. </w:t>
      </w:r>
      <w:hyperlink r:id="rId8" w:history="1">
        <w:r w:rsidRPr="00FA69A1">
          <w:rPr>
            <w:rStyle w:val="Hyperlink"/>
            <w:lang w:val="ka-GE"/>
          </w:rPr>
          <w:t>http://www.who.int/about/licensing/copyright_form/index.html</w:t>
        </w:r>
      </w:hyperlink>
      <w:r w:rsidRPr="00FA69A1">
        <w:rPr>
          <w:lang w:val="ka-GE"/>
        </w:rPr>
        <w:t xml:space="preserve">  მონაცემებზე  და საერთაშორისო კლინიკურ და ეპიდემიოლოგიურ მტკიცებულებებზე, მათ შორის ასახულზე ეროვნულ კლინიკურ რეკომენდაციებში</w:t>
      </w:r>
    </w:p>
    <w:p w:rsidR="00DC6A13" w:rsidRPr="00FA69A1" w:rsidRDefault="00DC6A13" w:rsidP="00DC6A13">
      <w:pPr>
        <w:spacing w:after="120" w:line="240" w:lineRule="auto"/>
        <w:jc w:val="both"/>
        <w:rPr>
          <w:lang w:val="ka-GE"/>
        </w:rPr>
      </w:pPr>
      <w:r w:rsidRPr="00FA69A1">
        <w:rPr>
          <w:lang w:val="ka-GE"/>
        </w:rPr>
        <w:t xml:space="preserve">პოტენციური ბენეფიციარების რაოდენობის გადათვლისას გამოყენებული იქნა ჯანმოს გლობალური ანგარიში. ვგულისხმობთ, რომ დიაბეტის პრევალენსი საქართველოს მოსახლეობაში არის 7.3% (Euripean  Region-ისთვის გათვლილი მონაცემების მიხედვით) და რომ ამათგან 90%-ს აქვს დიბეტი ტიპი2. WHO გლობალური ანგარიშის მიხედვით დიაბეტი ტიპი 2-ის ზუსტი გავრცელება უცნობია. ამ პარამეტრების მიხედთვით დღეისათვის დიაბეტი ტიპი 2-ით პირების სავარაუდო რაოდენობა უნდა შეადგენდეს: 3 718 200 (საქართველოს მოსახელობის რაოდენობა) * 0,073 * 0,9 = 244 286 </w:t>
      </w:r>
    </w:p>
    <w:p w:rsidR="00DC6A13" w:rsidRPr="00FA69A1" w:rsidRDefault="00DC6A13" w:rsidP="00DC6A13">
      <w:pPr>
        <w:spacing w:after="120" w:line="240" w:lineRule="auto"/>
        <w:jc w:val="both"/>
        <w:rPr>
          <w:lang w:val="ka-GE"/>
        </w:rPr>
      </w:pPr>
      <w:r w:rsidRPr="00FA69A1">
        <w:rPr>
          <w:lang w:val="ka-GE"/>
        </w:rPr>
        <w:t xml:space="preserve">თუ ადრე ითვლებოდა, რომ დიაბეტი ტიპი 2 უპირატესად შუა და ხანდაზმული ასაკის მოსახლეობაში გვხვდებოდა, ბოლო 4 დეკადის განმავლობაში მისი გავრცელება მაღალია ახალგაზრდებშიც. ამასთანავე, არადიაგნოსტირებული პაციენტების წილი, რომლებიც მკურნალობას არ იტარებს ძალზედ მაღალია - 24-62%. აქედან გამომდინარე, ვგულისხმობთ, რომ ექიმს მიაკითხავს და იმკურნალებს 38%. </w:t>
      </w:r>
    </w:p>
    <w:p w:rsidR="00DC6A13" w:rsidRPr="00FA69A1" w:rsidRDefault="00DC6A13" w:rsidP="00DC6A13">
      <w:pPr>
        <w:spacing w:after="120" w:line="240" w:lineRule="auto"/>
        <w:jc w:val="both"/>
        <w:rPr>
          <w:lang w:val="ka-GE"/>
        </w:rPr>
      </w:pPr>
      <w:r w:rsidRPr="00FA69A1">
        <w:rPr>
          <w:lang w:val="ka-GE"/>
        </w:rPr>
        <w:t xml:space="preserve">ზემოთ აღნიშნული გათვლებით საქართველოსთვის დადგენილი შემთხვევები სავარაუდოდ გაითვლება, როგორც </w:t>
      </w:r>
      <w:r w:rsidR="00430378" w:rsidRPr="00FA69A1">
        <w:rPr>
          <w:lang w:val="ka-GE"/>
        </w:rPr>
        <w:t xml:space="preserve">244 286 </w:t>
      </w:r>
      <w:r w:rsidRPr="00FA69A1">
        <w:rPr>
          <w:lang w:val="ka-GE"/>
        </w:rPr>
        <w:t xml:space="preserve">* 0.38 = </w:t>
      </w:r>
      <w:r w:rsidR="00430378" w:rsidRPr="00FA69A1">
        <w:rPr>
          <w:lang w:val="ka-GE"/>
        </w:rPr>
        <w:t>92 829</w:t>
      </w:r>
      <w:r w:rsidRPr="00FA69A1">
        <w:rPr>
          <w:lang w:val="ka-GE"/>
        </w:rPr>
        <w:t xml:space="preserve"> პროგრამის მომავალი სავარაუდო ბენეფიციარი - მიზნობრივი პოპულაცია.</w:t>
      </w:r>
    </w:p>
    <w:p w:rsidR="00DC6A13" w:rsidRPr="00FA69A1" w:rsidRDefault="00DC6A13" w:rsidP="00DC6A13">
      <w:pPr>
        <w:spacing w:after="120" w:line="240" w:lineRule="auto"/>
        <w:jc w:val="both"/>
        <w:rPr>
          <w:lang w:val="ka-GE"/>
        </w:rPr>
      </w:pPr>
      <w:r w:rsidRPr="00FA69A1">
        <w:rPr>
          <w:lang w:val="ka-GE"/>
        </w:rPr>
        <w:lastRenderedPageBreak/>
        <w:t>აღნიშნული დაშვებების გათვალისწინებით მივიღეთ შემდეგი შედეგი. ქვემოთ მოყვანილ ცხრილში მოცემულია მედიკამენტების ცალკეული ფორმების საჭირო რაოდენობები ერთი წლის განმავლობაში.</w:t>
      </w:r>
    </w:p>
    <w:p w:rsidR="00DC6A13" w:rsidRPr="00FA69A1" w:rsidRDefault="00DC6A13" w:rsidP="00430378">
      <w:pPr>
        <w:jc w:val="both"/>
      </w:pPr>
      <w:r w:rsidRPr="00FA69A1">
        <w:rPr>
          <w:lang w:val="ka-GE"/>
        </w:rPr>
        <w:t>დიაბეტი ტიპი 2-ით</w:t>
      </w:r>
      <w:r w:rsidRPr="00FA69A1">
        <w:t xml:space="preserve"> </w:t>
      </w:r>
      <w:proofErr w:type="spellStart"/>
      <w:r w:rsidRPr="00FA69A1">
        <w:t>დაავადებულ</w:t>
      </w:r>
      <w:proofErr w:type="spellEnd"/>
      <w:r w:rsidRPr="00FA69A1">
        <w:t xml:space="preserve"> </w:t>
      </w:r>
      <w:proofErr w:type="spellStart"/>
      <w:r w:rsidRPr="00FA69A1">
        <w:t>პაციენტთა</w:t>
      </w:r>
      <w:proofErr w:type="spellEnd"/>
      <w:r w:rsidRPr="00FA69A1">
        <w:t xml:space="preserve"> </w:t>
      </w:r>
      <w:proofErr w:type="spellStart"/>
      <w:r w:rsidRPr="00FA69A1">
        <w:t>წამლით</w:t>
      </w:r>
      <w:proofErr w:type="spellEnd"/>
      <w:r w:rsidRPr="00FA69A1">
        <w:t xml:space="preserve"> </w:t>
      </w:r>
      <w:proofErr w:type="spellStart"/>
      <w:r w:rsidRPr="00FA69A1">
        <w:t>უზრუნველყოფის</w:t>
      </w:r>
      <w:proofErr w:type="spellEnd"/>
      <w:r w:rsidRPr="00FA69A1">
        <w:t xml:space="preserve"> </w:t>
      </w:r>
      <w:proofErr w:type="spellStart"/>
      <w:r w:rsidRPr="00FA69A1">
        <w:t>კომპონენტისთვის</w:t>
      </w:r>
      <w:proofErr w:type="spellEnd"/>
      <w:r w:rsidRPr="00FA69A1">
        <w:t xml:space="preserve"> </w:t>
      </w:r>
      <w:proofErr w:type="spellStart"/>
      <w:r w:rsidRPr="00FA69A1">
        <w:t>საჭირო</w:t>
      </w:r>
      <w:proofErr w:type="spellEnd"/>
      <w:r w:rsidRPr="00FA69A1">
        <w:t xml:space="preserve"> </w:t>
      </w:r>
      <w:proofErr w:type="spellStart"/>
      <w:r w:rsidRPr="00FA69A1">
        <w:t>მედიკამენტების</w:t>
      </w:r>
      <w:proofErr w:type="spellEnd"/>
      <w:r w:rsidRPr="00FA69A1">
        <w:t xml:space="preserve"> </w:t>
      </w:r>
      <w:proofErr w:type="spellStart"/>
      <w:r w:rsidRPr="00FA69A1">
        <w:t>წლიური</w:t>
      </w:r>
      <w:proofErr w:type="spellEnd"/>
      <w:r w:rsidRPr="00FA69A1">
        <w:t xml:space="preserve"> </w:t>
      </w:r>
      <w:proofErr w:type="spellStart"/>
      <w:r w:rsidRPr="00FA69A1">
        <w:t>რაოდენობა</w:t>
      </w:r>
      <w:proofErr w:type="spellEnd"/>
    </w:p>
    <w:tbl>
      <w:tblPr>
        <w:tblStyle w:val="TableGridLight"/>
        <w:tblW w:w="9634" w:type="dxa"/>
        <w:jc w:val="center"/>
        <w:tblLayout w:type="fixed"/>
        <w:tblLook w:val="04A0" w:firstRow="1" w:lastRow="0" w:firstColumn="1" w:lastColumn="0" w:noHBand="0" w:noVBand="1"/>
      </w:tblPr>
      <w:tblGrid>
        <w:gridCol w:w="1696"/>
        <w:gridCol w:w="1560"/>
        <w:gridCol w:w="1842"/>
        <w:gridCol w:w="1276"/>
        <w:gridCol w:w="3260"/>
      </w:tblGrid>
      <w:tr w:rsidR="00DC6A13" w:rsidRPr="00FA69A1" w:rsidTr="0015397A">
        <w:trPr>
          <w:trHeight w:val="1026"/>
          <w:jc w:val="center"/>
        </w:trPr>
        <w:tc>
          <w:tcPr>
            <w:tcW w:w="1696"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მედიკამეტი</w:t>
            </w:r>
          </w:p>
        </w:tc>
        <w:tc>
          <w:tcPr>
            <w:tcW w:w="1560"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მიზნობრიობა</w:t>
            </w:r>
          </w:p>
        </w:tc>
        <w:tc>
          <w:tcPr>
            <w:tcW w:w="1842" w:type="dxa"/>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ბიუჯეტირებადი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ერთეული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მგ</w:t>
            </w:r>
            <w:r w:rsidRPr="00FA69A1">
              <w:rPr>
                <w:rFonts w:ascii="Calibri" w:eastAsia="Times New Roman" w:hAnsi="Calibri" w:cs="Calibri"/>
                <w:lang w:val="ka-GE" w:eastAsia="ka-GE"/>
              </w:rPr>
              <w:t>-</w:t>
            </w:r>
            <w:r w:rsidRPr="00FA69A1">
              <w:rPr>
                <w:rFonts w:ascii="Sylfaen" w:eastAsia="Times New Roman" w:hAnsi="Sylfaen" w:cs="Sylfaen"/>
                <w:lang w:val="ka-GE" w:eastAsia="ka-GE"/>
              </w:rPr>
              <w:t>იანი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ტაბლეტი</w:t>
            </w:r>
            <w:r w:rsidRPr="00FA69A1">
              <w:rPr>
                <w:rFonts w:ascii="Calibri" w:eastAsia="Times New Roman" w:hAnsi="Calibri" w:cs="Calibri"/>
                <w:lang w:val="ka-GE" w:eastAsia="ka-GE"/>
              </w:rPr>
              <w:t>)</w:t>
            </w:r>
          </w:p>
        </w:tc>
        <w:tc>
          <w:tcPr>
            <w:tcW w:w="1276" w:type="dxa"/>
            <w:vAlign w:val="center"/>
            <w:hideMark/>
          </w:tcPr>
          <w:p w:rsidR="00DC6A13" w:rsidRPr="00FA69A1" w:rsidRDefault="00DC6A13" w:rsidP="0015397A">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წლიური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ლარში</w:t>
            </w:r>
          </w:p>
        </w:tc>
        <w:tc>
          <w:tcPr>
            <w:tcW w:w="3260" w:type="dxa"/>
            <w:vAlign w:val="center"/>
            <w:hideMark/>
          </w:tcPr>
          <w:p w:rsidR="00DC6A13" w:rsidRPr="00FA69A1" w:rsidRDefault="00DC6A13" w:rsidP="0015397A">
            <w:pPr>
              <w:jc w:val="center"/>
              <w:rPr>
                <w:rFonts w:ascii="Calibri" w:eastAsia="Times New Roman" w:hAnsi="Calibri" w:cs="Calibri"/>
                <w:bCs/>
                <w:lang w:val="ka-GE" w:eastAsia="ka-GE"/>
              </w:rPr>
            </w:pPr>
            <w:r w:rsidRPr="00FA69A1">
              <w:rPr>
                <w:rFonts w:ascii="Sylfaen" w:eastAsia="Times New Roman" w:hAnsi="Sylfaen" w:cs="Sylfaen"/>
                <w:bCs/>
                <w:lang w:val="ka-GE" w:eastAsia="ka-GE"/>
              </w:rPr>
              <w:t>მოთხოვნილი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ბიუჯეტირებადი</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ერთეული</w:t>
            </w:r>
            <w:r w:rsidRPr="00FA69A1">
              <w:rPr>
                <w:rFonts w:ascii="Calibri" w:eastAsia="Times New Roman" w:hAnsi="Calibri" w:cs="Calibri"/>
                <w:bCs/>
                <w:lang w:val="ka-GE" w:eastAsia="ka-GE"/>
              </w:rPr>
              <w:t xml:space="preserve"> 1 </w:t>
            </w:r>
            <w:r w:rsidRPr="00FA69A1">
              <w:rPr>
                <w:rFonts w:ascii="Sylfaen" w:eastAsia="Times New Roman" w:hAnsi="Sylfaen" w:cs="Sylfaen"/>
                <w:bCs/>
                <w:lang w:val="ka-GE" w:eastAsia="ka-GE"/>
              </w:rPr>
              <w:t>წლის</w:t>
            </w:r>
            <w:r w:rsidRPr="00FA69A1">
              <w:rPr>
                <w:rFonts w:ascii="Calibri" w:eastAsia="Times New Roman" w:hAnsi="Calibri" w:cs="Calibri"/>
                <w:bCs/>
                <w:lang w:val="ka-GE" w:eastAsia="ka-GE"/>
              </w:rPr>
              <w:t xml:space="preserve"> </w:t>
            </w:r>
            <w:r w:rsidRPr="00FA69A1">
              <w:rPr>
                <w:rFonts w:ascii="Sylfaen" w:eastAsia="Times New Roman" w:hAnsi="Sylfaen" w:cs="Sylfaen"/>
                <w:bCs/>
                <w:lang w:val="ka-GE" w:eastAsia="ka-GE"/>
              </w:rPr>
              <w:t>განმავლობაში</w:t>
            </w:r>
            <w:r w:rsidRPr="00FA69A1">
              <w:rPr>
                <w:rFonts w:ascii="Calibri" w:eastAsia="Times New Roman" w:hAnsi="Calibri" w:cs="Calibri"/>
                <w:bCs/>
                <w:lang w:val="ka-GE" w:eastAsia="ka-GE"/>
              </w:rPr>
              <w:t xml:space="preserve">  (n </w:t>
            </w:r>
            <w:r w:rsidRPr="00FA69A1">
              <w:rPr>
                <w:rFonts w:ascii="Sylfaen" w:eastAsia="Times New Roman" w:hAnsi="Sylfaen" w:cs="Sylfaen"/>
                <w:bCs/>
                <w:lang w:val="ka-GE" w:eastAsia="ka-GE"/>
              </w:rPr>
              <w:t>ტაბლეტი</w:t>
            </w:r>
            <w:r w:rsidRPr="00FA69A1">
              <w:rPr>
                <w:rFonts w:ascii="Calibri" w:eastAsia="Times New Roman" w:hAnsi="Calibri" w:cs="Calibri"/>
                <w:bCs/>
                <w:lang w:val="ka-GE" w:eastAsia="ka-GE"/>
              </w:rPr>
              <w:t>)</w:t>
            </w:r>
          </w:p>
        </w:tc>
      </w:tr>
      <w:tr w:rsidR="00DC6A13" w:rsidRPr="00FA69A1" w:rsidTr="0015397A">
        <w:trPr>
          <w:trHeight w:val="300"/>
          <w:jc w:val="center"/>
        </w:trPr>
        <w:tc>
          <w:tcPr>
            <w:tcW w:w="1696"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მეტფორმინი</w:t>
            </w:r>
          </w:p>
        </w:tc>
        <w:tc>
          <w:tcPr>
            <w:tcW w:w="1560"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842"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1000</w:t>
            </w:r>
          </w:p>
        </w:tc>
        <w:tc>
          <w:tcPr>
            <w:tcW w:w="1276" w:type="dxa"/>
            <w:noWrap/>
            <w:vAlign w:val="center"/>
            <w:hideMark/>
          </w:tcPr>
          <w:p w:rsidR="00DC6A13" w:rsidRPr="00FA69A1" w:rsidRDefault="00430378" w:rsidP="0015397A">
            <w:pPr>
              <w:jc w:val="center"/>
              <w:rPr>
                <w:rFonts w:ascii="Calibri" w:hAnsi="Calibri" w:cs="Calibri"/>
                <w:color w:val="000000"/>
                <w:lang w:val="ka-GE"/>
              </w:rPr>
            </w:pPr>
            <w:r w:rsidRPr="00FA69A1">
              <w:rPr>
                <w:rFonts w:ascii="Calibri" w:hAnsi="Calibri" w:cs="Calibri"/>
                <w:color w:val="000000"/>
                <w:lang w:val="ka-GE"/>
              </w:rPr>
              <w:t>4 109 803</w:t>
            </w:r>
          </w:p>
        </w:tc>
        <w:tc>
          <w:tcPr>
            <w:tcW w:w="3260"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547.5</w:t>
            </w:r>
          </w:p>
        </w:tc>
      </w:tr>
      <w:tr w:rsidR="00DC6A13" w:rsidRPr="00FA69A1" w:rsidTr="0015397A">
        <w:trPr>
          <w:trHeight w:val="300"/>
          <w:jc w:val="center"/>
        </w:trPr>
        <w:tc>
          <w:tcPr>
            <w:tcW w:w="1696"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გლიკლაზიდი</w:t>
            </w:r>
          </w:p>
        </w:tc>
        <w:tc>
          <w:tcPr>
            <w:tcW w:w="1560"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დიაბეტი</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ტიპი</w:t>
            </w:r>
            <w:r w:rsidRPr="00FA69A1">
              <w:rPr>
                <w:rFonts w:ascii="Calibri" w:eastAsia="Times New Roman" w:hAnsi="Calibri" w:cs="Calibri"/>
                <w:lang w:val="ka-GE" w:eastAsia="ka-GE"/>
              </w:rPr>
              <w:t xml:space="preserve"> 2-</w:t>
            </w:r>
            <w:r w:rsidRPr="00FA69A1">
              <w:rPr>
                <w:rFonts w:ascii="Sylfaen" w:eastAsia="Times New Roman" w:hAnsi="Sylfaen" w:cs="Sylfaen"/>
                <w:lang w:val="ka-GE" w:eastAsia="ka-GE"/>
              </w:rPr>
              <w:t>ის</w:t>
            </w:r>
            <w:r w:rsidRPr="00FA69A1">
              <w:rPr>
                <w:rFonts w:ascii="Calibri" w:eastAsia="Times New Roman" w:hAnsi="Calibri" w:cs="Calibri"/>
                <w:lang w:val="ka-GE" w:eastAsia="ka-GE"/>
              </w:rPr>
              <w:t xml:space="preserve"> </w:t>
            </w:r>
            <w:r w:rsidRPr="00FA69A1">
              <w:rPr>
                <w:rFonts w:ascii="Sylfaen" w:eastAsia="Times New Roman" w:hAnsi="Sylfaen" w:cs="Sylfaen"/>
                <w:lang w:val="ka-GE" w:eastAsia="ka-GE"/>
              </w:rPr>
              <w:t>მართვა</w:t>
            </w:r>
          </w:p>
        </w:tc>
        <w:tc>
          <w:tcPr>
            <w:tcW w:w="1842"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60</w:t>
            </w:r>
          </w:p>
        </w:tc>
        <w:tc>
          <w:tcPr>
            <w:tcW w:w="1276" w:type="dxa"/>
            <w:noWrap/>
            <w:vAlign w:val="center"/>
            <w:hideMark/>
          </w:tcPr>
          <w:p w:rsidR="00DC6A13" w:rsidRPr="00FA69A1" w:rsidRDefault="00430378" w:rsidP="0015397A">
            <w:pPr>
              <w:jc w:val="center"/>
              <w:rPr>
                <w:rFonts w:ascii="Calibri" w:hAnsi="Calibri" w:cs="Calibri"/>
                <w:color w:val="000000"/>
                <w:lang w:val="ka-GE"/>
              </w:rPr>
            </w:pPr>
            <w:r w:rsidRPr="00FA69A1">
              <w:rPr>
                <w:rFonts w:ascii="Calibri" w:hAnsi="Calibri" w:cs="Calibri"/>
                <w:color w:val="000000"/>
                <w:lang w:val="ka-GE"/>
              </w:rPr>
              <w:t>4 883 245</w:t>
            </w:r>
          </w:p>
        </w:tc>
        <w:tc>
          <w:tcPr>
            <w:tcW w:w="3260" w:type="dxa"/>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Calibri" w:eastAsia="Times New Roman" w:hAnsi="Calibri" w:cs="Calibri"/>
                <w:lang w:val="ka-GE" w:eastAsia="ka-GE"/>
              </w:rPr>
              <w:t>365,0</w:t>
            </w:r>
          </w:p>
        </w:tc>
      </w:tr>
      <w:tr w:rsidR="00DC6A13" w:rsidRPr="00FA69A1" w:rsidTr="0015397A">
        <w:trPr>
          <w:trHeight w:val="420"/>
          <w:jc w:val="center"/>
        </w:trPr>
        <w:tc>
          <w:tcPr>
            <w:tcW w:w="5098" w:type="dxa"/>
            <w:gridSpan w:val="3"/>
            <w:noWrap/>
            <w:vAlign w:val="center"/>
            <w:hideMark/>
          </w:tcPr>
          <w:p w:rsidR="00DC6A13" w:rsidRPr="00FA69A1" w:rsidRDefault="00DC6A13" w:rsidP="0015397A">
            <w:pPr>
              <w:jc w:val="center"/>
              <w:rPr>
                <w:rFonts w:ascii="Calibri" w:eastAsia="Times New Roman" w:hAnsi="Calibri" w:cs="Calibri"/>
                <w:lang w:val="ka-GE" w:eastAsia="ka-GE"/>
              </w:rPr>
            </w:pPr>
            <w:r w:rsidRPr="00FA69A1">
              <w:rPr>
                <w:rFonts w:ascii="Sylfaen" w:eastAsia="Times New Roman" w:hAnsi="Sylfaen" w:cs="Sylfaen"/>
                <w:lang w:val="ka-GE" w:eastAsia="ka-GE"/>
              </w:rPr>
              <w:t>სულ</w:t>
            </w:r>
          </w:p>
        </w:tc>
        <w:tc>
          <w:tcPr>
            <w:tcW w:w="1276" w:type="dxa"/>
            <w:noWrap/>
            <w:vAlign w:val="center"/>
            <w:hideMark/>
          </w:tcPr>
          <w:p w:rsidR="00DC6A13" w:rsidRPr="00FA69A1" w:rsidRDefault="00430378" w:rsidP="00430378">
            <w:pPr>
              <w:jc w:val="center"/>
              <w:rPr>
                <w:rFonts w:ascii="Calibri" w:hAnsi="Calibri" w:cs="Calibri"/>
                <w:bCs/>
                <w:color w:val="FF0000"/>
                <w:lang w:val="ka-GE"/>
              </w:rPr>
            </w:pPr>
            <w:r w:rsidRPr="00FA69A1">
              <w:rPr>
                <w:rFonts w:ascii="Calibri" w:hAnsi="Calibri" w:cs="Calibri"/>
                <w:color w:val="000000"/>
                <w:lang w:val="ka-GE"/>
              </w:rPr>
              <w:t>8</w:t>
            </w:r>
            <w:r w:rsidR="00DC6A13" w:rsidRPr="00FA69A1">
              <w:rPr>
                <w:rFonts w:ascii="Calibri" w:hAnsi="Calibri" w:cs="Calibri"/>
                <w:color w:val="000000"/>
                <w:lang w:val="ka-GE"/>
              </w:rPr>
              <w:t> </w:t>
            </w:r>
            <w:r w:rsidRPr="00FA69A1">
              <w:rPr>
                <w:rFonts w:ascii="Calibri" w:hAnsi="Calibri" w:cs="Calibri"/>
                <w:color w:val="000000"/>
                <w:lang w:val="ka-GE"/>
              </w:rPr>
              <w:t>993</w:t>
            </w:r>
            <w:r w:rsidR="00DC6A13" w:rsidRPr="00FA69A1">
              <w:rPr>
                <w:rFonts w:ascii="Calibri" w:hAnsi="Calibri" w:cs="Calibri"/>
                <w:color w:val="000000"/>
                <w:lang w:val="ka-GE"/>
              </w:rPr>
              <w:t xml:space="preserve"> </w:t>
            </w:r>
            <w:r w:rsidRPr="00FA69A1">
              <w:rPr>
                <w:rFonts w:ascii="Calibri" w:hAnsi="Calibri" w:cs="Calibri"/>
                <w:color w:val="000000"/>
                <w:lang w:val="ka-GE"/>
              </w:rPr>
              <w:t>048</w:t>
            </w:r>
          </w:p>
        </w:tc>
        <w:tc>
          <w:tcPr>
            <w:tcW w:w="3260" w:type="dxa"/>
            <w:noWrap/>
            <w:vAlign w:val="center"/>
            <w:hideMark/>
          </w:tcPr>
          <w:p w:rsidR="00DC6A13" w:rsidRPr="00FA69A1" w:rsidRDefault="00DC6A13" w:rsidP="0015397A">
            <w:pPr>
              <w:jc w:val="center"/>
              <w:rPr>
                <w:rFonts w:ascii="Calibri" w:eastAsia="Times New Roman" w:hAnsi="Calibri" w:cs="Calibri"/>
                <w:bCs/>
                <w:lang w:val="ka-GE" w:eastAsia="ka-GE"/>
              </w:rPr>
            </w:pPr>
          </w:p>
        </w:tc>
      </w:tr>
    </w:tbl>
    <w:p w:rsidR="00DC6A13" w:rsidRPr="00FA69A1" w:rsidRDefault="00DC6A13" w:rsidP="00DC6A13">
      <w:pPr>
        <w:spacing w:after="120" w:line="240" w:lineRule="auto"/>
        <w:jc w:val="both"/>
        <w:rPr>
          <w:lang w:val="ka-GE"/>
        </w:rPr>
      </w:pPr>
    </w:p>
    <w:p w:rsidR="00F148A2" w:rsidRDefault="00F148A2" w:rsidP="00F148A2">
      <w:pPr>
        <w:spacing w:after="240"/>
        <w:jc w:val="both"/>
        <w:rPr>
          <w:rFonts w:ascii="Sylfaen" w:hAnsi="Sylfaen" w:cs="Sylfaen"/>
          <w:color w:val="000000"/>
          <w:lang w:val="ka-GE"/>
        </w:rPr>
      </w:pPr>
      <w:r w:rsidRPr="00622255">
        <w:rPr>
          <w:rFonts w:ascii="Sylfaen" w:hAnsi="Sylfaen" w:cs="Sylfaen"/>
          <w:color w:val="000000"/>
          <w:lang w:val="ka-GE"/>
        </w:rPr>
        <w:t>დაავადებათა კონტროლისა და საზოგადოებრივი ჯანმრ</w:t>
      </w:r>
      <w:r>
        <w:rPr>
          <w:rFonts w:ascii="Sylfaen" w:hAnsi="Sylfaen" w:cs="Sylfaen"/>
          <w:color w:val="000000"/>
          <w:lang w:val="ka-GE"/>
        </w:rPr>
        <w:t>თელობის ეროვნული ცენტრის აზრით რეალობასთან ყველაზე ახლოს დგას პირველი ვარიანტი, რომელიც ეყრდნობა რუტინული სტატისტიკისა და დიაბეტის საერთაშორისო ორგანიზაციის საქართველოს მონაცემთა გათვლება.</w:t>
      </w:r>
    </w:p>
    <w:p w:rsidR="00F148A2" w:rsidRDefault="00F148A2" w:rsidP="00F148A2">
      <w:pPr>
        <w:jc w:val="both"/>
        <w:rPr>
          <w:rFonts w:ascii="Sylfaen" w:hAnsi="Sylfaen" w:cs="Sylfaen"/>
          <w:color w:val="000000"/>
          <w:lang w:val="ka-GE"/>
        </w:rPr>
      </w:pPr>
      <w:r w:rsidRPr="0022234A">
        <w:rPr>
          <w:rFonts w:ascii="Sylfaen" w:hAnsi="Sylfaen"/>
          <w:lang w:val="ka-GE"/>
        </w:rPr>
        <w:t xml:space="preserve">ბიუჯეტი დაეყრდნო საბაზრო ფასებს, თუმცა კონკურენტული შესყიდვის პირობებში შესაძლებელია პროგრამის ბიუჯეტის დაახლოებით </w:t>
      </w:r>
      <w:r>
        <w:rPr>
          <w:rFonts w:ascii="Sylfaen" w:hAnsi="Sylfaen"/>
          <w:lang w:val="ka-GE"/>
        </w:rPr>
        <w:t>50-70</w:t>
      </w:r>
      <w:r w:rsidRPr="0022234A">
        <w:rPr>
          <w:rFonts w:ascii="Sylfaen" w:hAnsi="Sylfaen"/>
          <w:lang w:val="ka-GE"/>
        </w:rPr>
        <w:t>%-ით შემცირება.</w:t>
      </w:r>
      <w:r>
        <w:rPr>
          <w:rFonts w:ascii="Sylfaen" w:hAnsi="Sylfaen"/>
          <w:lang w:val="ka-GE"/>
        </w:rPr>
        <w:t xml:space="preserve"> </w:t>
      </w:r>
      <w:r w:rsidRPr="00C8534D">
        <w:rPr>
          <w:rFonts w:ascii="Sylfaen" w:hAnsi="Sylfaen" w:cs="Sylfaen"/>
          <w:color w:val="000000"/>
          <w:lang w:val="ka-GE"/>
        </w:rPr>
        <w:t xml:space="preserve">კონკურენტული შესყიდვის პირობებში პროგრამის ბიუჯეტის მნიშვნელოვანი შემცირების საფუძველს გვაძლევს </w:t>
      </w:r>
      <w:r w:rsidRPr="00C8534D">
        <w:rPr>
          <w:lang w:val="ka-GE"/>
        </w:rPr>
        <w:t>“</w:t>
      </w:r>
      <w:r w:rsidRPr="00C8534D">
        <w:rPr>
          <w:rFonts w:ascii="Sylfaen" w:hAnsi="Sylfaen"/>
          <w:lang w:val="ka-GE"/>
        </w:rPr>
        <w:t>წამლის საერთაშორისო ფასების ინდიკატორის გაიდლაინის“</w:t>
      </w:r>
      <w:r w:rsidRPr="00C8534D">
        <w:rPr>
          <w:rStyle w:val="EndnoteReference"/>
          <w:rFonts w:ascii="Sylfaen" w:hAnsi="Sylfaen"/>
          <w:lang w:val="ka-GE"/>
        </w:rPr>
        <w:endnoteReference w:id="1"/>
      </w:r>
      <w:r w:rsidRPr="00C8534D">
        <w:rPr>
          <w:rFonts w:ascii="Sylfaen" w:hAnsi="Sylfaen"/>
          <w:lang w:val="ka-GE"/>
        </w:rPr>
        <w:t xml:space="preserve"> </w:t>
      </w:r>
      <w:r w:rsidRPr="00C8534D">
        <w:rPr>
          <w:rFonts w:ascii="Sylfaen" w:hAnsi="Sylfaen"/>
          <w:lang w:val="ka-GE"/>
        </w:rPr>
        <w:lastRenderedPageBreak/>
        <w:t>(The International of Drug Price Indicator Guide)</w:t>
      </w:r>
      <w:r w:rsidRPr="00C8534D">
        <w:rPr>
          <w:rStyle w:val="FootnoteReference"/>
          <w:rFonts w:ascii="Sylfaen" w:hAnsi="Sylfaen"/>
          <w:lang w:val="ka-GE"/>
        </w:rPr>
        <w:footnoteReference w:id="1"/>
      </w:r>
      <w:r w:rsidRPr="00C8534D">
        <w:rPr>
          <w:rFonts w:ascii="Sylfaen" w:hAnsi="Sylfaen" w:cs="Sylfaen"/>
          <w:color w:val="000000"/>
          <w:lang w:val="ka-GE"/>
        </w:rPr>
        <w:t xml:space="preserve"> მონაცემები, რომლის მიხედვითაც, საერთაშორისო ბაზარზე დაფიქსირებული წლიური ფასი პროგრამის ფარგლებში შერჩეულ მედიკამენტებზე საშუალოდ 7</w:t>
      </w:r>
      <w:r>
        <w:rPr>
          <w:rFonts w:ascii="Sylfaen" w:hAnsi="Sylfaen" w:cs="Sylfaen"/>
          <w:color w:val="000000"/>
          <w:lang w:val="ka-GE"/>
        </w:rPr>
        <w:t>0</w:t>
      </w:r>
      <w:r w:rsidRPr="00C8534D">
        <w:rPr>
          <w:rFonts w:ascii="Sylfaen" w:hAnsi="Sylfaen" w:cs="Sylfaen"/>
          <w:color w:val="000000"/>
          <w:lang w:val="ka-GE"/>
        </w:rPr>
        <w:t>%-ით ნაკლებია</w:t>
      </w:r>
      <w:r w:rsidRPr="0047204A">
        <w:rPr>
          <w:rFonts w:ascii="Sylfaen" w:hAnsi="Sylfaen" w:cs="Sylfaen"/>
          <w:color w:val="000000"/>
          <w:lang w:val="ka-GE"/>
        </w:rPr>
        <w:t xml:space="preserve"> საქართველოში აღნიშნულ მედიკამენტებზე საცალო ფასთან შედარებით.</w:t>
      </w:r>
      <w:r>
        <w:rPr>
          <w:rFonts w:ascii="Sylfaen" w:hAnsi="Sylfaen" w:cs="Sylfaen"/>
          <w:color w:val="000000"/>
          <w:lang w:val="ka-GE"/>
        </w:rPr>
        <w:t xml:space="preserve"> </w:t>
      </w:r>
    </w:p>
    <w:p w:rsidR="00DC6A13" w:rsidRPr="00FA69A1" w:rsidRDefault="00DC6A13" w:rsidP="00DC6A13">
      <w:pPr>
        <w:spacing w:after="120" w:line="240" w:lineRule="auto"/>
        <w:jc w:val="both"/>
        <w:rPr>
          <w:lang w:val="ka-GE"/>
        </w:rPr>
      </w:pPr>
    </w:p>
    <w:p w:rsidR="00DC6A13" w:rsidRDefault="003069AF" w:rsidP="00DC6A13">
      <w:pPr>
        <w:spacing w:after="120" w:line="240" w:lineRule="auto"/>
        <w:jc w:val="both"/>
        <w:rPr>
          <w:lang w:val="ka-GE"/>
        </w:rPr>
      </w:pPr>
      <w:r w:rsidRPr="00FA69A1">
        <w:rPr>
          <w:lang w:val="ka-GE"/>
        </w:rPr>
        <w:t>პატივისცემით,</w:t>
      </w:r>
    </w:p>
    <w:p w:rsidR="00622255" w:rsidRDefault="00622255" w:rsidP="00DC6A13">
      <w:pPr>
        <w:spacing w:after="120" w:line="240" w:lineRule="auto"/>
        <w:jc w:val="both"/>
        <w:rPr>
          <w:lang w:val="ka-GE"/>
        </w:rPr>
      </w:pPr>
    </w:p>
    <w:p w:rsidR="00622255" w:rsidRPr="00FA69A1" w:rsidRDefault="00622255" w:rsidP="00DC6A13">
      <w:pPr>
        <w:spacing w:after="120" w:line="240" w:lineRule="auto"/>
        <w:jc w:val="both"/>
        <w:rPr>
          <w:lang w:val="ka-GE"/>
        </w:rPr>
      </w:pPr>
      <w:r>
        <w:rPr>
          <w:lang w:val="ka-GE"/>
        </w:rPr>
        <w:t>ამირანი</w:t>
      </w:r>
      <w:bookmarkStart w:id="0" w:name="_GoBack"/>
      <w:bookmarkEnd w:id="0"/>
    </w:p>
    <w:p w:rsidR="004458A9" w:rsidRPr="00FA69A1" w:rsidRDefault="004458A9" w:rsidP="004458A9">
      <w:pPr>
        <w:spacing w:after="120" w:line="240" w:lineRule="auto"/>
        <w:jc w:val="both"/>
        <w:rPr>
          <w:lang w:val="ka-GE"/>
        </w:rPr>
      </w:pPr>
    </w:p>
    <w:p w:rsidR="003B717D" w:rsidRPr="00FA69A1" w:rsidRDefault="003B717D" w:rsidP="00962B3A">
      <w:pPr>
        <w:spacing w:after="120" w:line="240" w:lineRule="auto"/>
        <w:jc w:val="both"/>
        <w:rPr>
          <w:lang w:val="ka-GE"/>
        </w:rPr>
      </w:pPr>
    </w:p>
    <w:p w:rsidR="00DE4256" w:rsidRPr="00FA69A1" w:rsidRDefault="00DE4256" w:rsidP="00DE4256">
      <w:pPr>
        <w:spacing w:after="120" w:line="240" w:lineRule="auto"/>
        <w:jc w:val="both"/>
        <w:rPr>
          <w:lang w:val="ka-GE"/>
        </w:rPr>
      </w:pPr>
    </w:p>
    <w:p w:rsidR="00DE4256" w:rsidRPr="00FA69A1" w:rsidRDefault="00DE4256" w:rsidP="00DE4256">
      <w:pPr>
        <w:spacing w:after="120" w:line="240" w:lineRule="auto"/>
        <w:jc w:val="both"/>
        <w:rPr>
          <w:lang w:val="ka-GE"/>
        </w:rPr>
      </w:pPr>
    </w:p>
    <w:p w:rsidR="00DE4256" w:rsidRPr="00FA69A1" w:rsidRDefault="00DE4256" w:rsidP="00DE4256">
      <w:pPr>
        <w:spacing w:after="120" w:line="240" w:lineRule="auto"/>
        <w:jc w:val="both"/>
        <w:rPr>
          <w:lang w:val="ka-GE"/>
        </w:rPr>
      </w:pPr>
    </w:p>
    <w:sectPr w:rsidR="00DE4256" w:rsidRPr="00FA69A1" w:rsidSect="00FA69A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23" w:rsidRDefault="00DD2023" w:rsidP="00DD2023">
      <w:pPr>
        <w:spacing w:after="0" w:line="240" w:lineRule="auto"/>
      </w:pPr>
      <w:r>
        <w:separator/>
      </w:r>
    </w:p>
  </w:endnote>
  <w:endnote w:type="continuationSeparator" w:id="0">
    <w:p w:rsidR="00DD2023" w:rsidRDefault="00DD2023" w:rsidP="00DD2023">
      <w:pPr>
        <w:spacing w:after="0" w:line="240" w:lineRule="auto"/>
      </w:pPr>
      <w:r>
        <w:continuationSeparator/>
      </w:r>
    </w:p>
  </w:endnote>
  <w:endnote w:id="1">
    <w:p w:rsidR="00F148A2" w:rsidRPr="00534209" w:rsidRDefault="00F148A2" w:rsidP="00F148A2">
      <w:pPr>
        <w:pStyle w:val="NoSpacing"/>
        <w:rPr>
          <w:rFonts w:asciiTheme="minorHAnsi" w:hAnsiTheme="minorHAnsi"/>
          <w:sz w:val="20"/>
          <w:szCs w:val="20"/>
          <w:lang w:val="ka-GE"/>
        </w:rPr>
      </w:pPr>
      <w:r w:rsidRPr="00534209">
        <w:rPr>
          <w:rStyle w:val="EndnoteReference"/>
          <w:rFonts w:asciiTheme="minorHAnsi" w:hAnsiTheme="minorHAnsi"/>
          <w:sz w:val="20"/>
          <w:szCs w:val="20"/>
        </w:rPr>
        <w:endnoteRef/>
      </w:r>
      <w:r w:rsidRPr="00534209">
        <w:rPr>
          <w:rFonts w:asciiTheme="minorHAnsi" w:hAnsiTheme="minorHAnsi"/>
          <w:sz w:val="20"/>
          <w:szCs w:val="20"/>
        </w:rPr>
        <w:t xml:space="preserve"> The International of Drug Price Indicator </w:t>
      </w:r>
      <w:proofErr w:type="gramStart"/>
      <w:r w:rsidRPr="00534209">
        <w:rPr>
          <w:rFonts w:asciiTheme="minorHAnsi" w:hAnsiTheme="minorHAnsi"/>
          <w:sz w:val="20"/>
          <w:szCs w:val="20"/>
        </w:rPr>
        <w:t xml:space="preserve">Guide </w:t>
      </w:r>
      <w:r w:rsidRPr="00534209">
        <w:rPr>
          <w:rFonts w:asciiTheme="minorHAnsi" w:hAnsiTheme="minorHAnsi"/>
          <w:sz w:val="20"/>
          <w:szCs w:val="20"/>
          <w:lang w:val="ka-GE"/>
        </w:rPr>
        <w:t>,</w:t>
      </w:r>
      <w:r w:rsidRPr="00534209">
        <w:rPr>
          <w:rFonts w:asciiTheme="minorHAnsi" w:hAnsiTheme="minorHAnsi"/>
          <w:sz w:val="20"/>
          <w:szCs w:val="20"/>
        </w:rPr>
        <w:t>WHO</w:t>
      </w:r>
      <w:proofErr w:type="gramEnd"/>
      <w:r w:rsidRPr="00534209">
        <w:rPr>
          <w:rFonts w:asciiTheme="minorHAnsi" w:hAnsiTheme="minorHAnsi"/>
          <w:sz w:val="20"/>
          <w:szCs w:val="20"/>
        </w:rPr>
        <w:t xml:space="preserve">, MSH. Available at: </w:t>
      </w:r>
      <w:hyperlink r:id="rId1" w:history="1">
        <w:r w:rsidRPr="00534209">
          <w:rPr>
            <w:rStyle w:val="Hyperlink"/>
            <w:rFonts w:asciiTheme="minorHAnsi" w:hAnsiTheme="minorHAnsi"/>
            <w:sz w:val="20"/>
            <w:szCs w:val="20"/>
            <w:lang w:val="ka-GE"/>
          </w:rPr>
          <w:t>http://www.who.int/medicines/areas/access/ecofin/en/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23" w:rsidRDefault="00DD2023" w:rsidP="00DD2023">
      <w:pPr>
        <w:spacing w:after="0" w:line="240" w:lineRule="auto"/>
      </w:pPr>
      <w:r>
        <w:separator/>
      </w:r>
    </w:p>
  </w:footnote>
  <w:footnote w:type="continuationSeparator" w:id="0">
    <w:p w:rsidR="00DD2023" w:rsidRDefault="00DD2023" w:rsidP="00DD2023">
      <w:pPr>
        <w:spacing w:after="0" w:line="240" w:lineRule="auto"/>
      </w:pPr>
      <w:r>
        <w:continuationSeparator/>
      </w:r>
    </w:p>
  </w:footnote>
  <w:footnote w:id="1">
    <w:p w:rsidR="00F148A2" w:rsidRPr="00284763" w:rsidRDefault="00F148A2" w:rsidP="00F148A2">
      <w:pPr>
        <w:spacing w:after="240"/>
        <w:jc w:val="both"/>
        <w:rPr>
          <w:rFonts w:ascii="Sylfaen" w:hAnsi="Sylfaen"/>
          <w:lang w:val="ka-GE"/>
        </w:rPr>
      </w:pPr>
      <w:r>
        <w:rPr>
          <w:rStyle w:val="FootnoteReference"/>
        </w:rPr>
        <w:footnoteRef/>
      </w:r>
      <w:r w:rsidRPr="00534209">
        <w:rPr>
          <w:lang w:val="ka-GE"/>
        </w:rPr>
        <w:t xml:space="preserve"> </w:t>
      </w:r>
      <w:r w:rsidRPr="00284763">
        <w:rPr>
          <w:rFonts w:ascii="Sylfaen" w:hAnsi="Sylfaen" w:cs="Sylfaen"/>
          <w:color w:val="000000"/>
          <w:sz w:val="16"/>
          <w:szCs w:val="16"/>
          <w:lang w:val="ka-GE"/>
        </w:rPr>
        <w:t xml:space="preserve">ზემოაღნიშნული გაიდლაინი </w:t>
      </w:r>
      <w:r w:rsidRPr="00284763">
        <w:rPr>
          <w:rFonts w:ascii="Sylfaen" w:hAnsi="Sylfaen"/>
          <w:sz w:val="16"/>
          <w:szCs w:val="16"/>
          <w:lang w:val="ka-GE"/>
        </w:rPr>
        <w:t>ასახავს საერთაშორისო ბაზარზე წლის განმავლობაში დაფიქსირებულ ესენციური მედიკამენტების ფასებს. იგი 2000 წლიდან რეგულარულად ქვეყნდება „ჯანდაცვის მართვის მეცნიერებების“ (</w:t>
      </w:r>
      <w:r w:rsidRPr="00284763">
        <w:rPr>
          <w:rFonts w:ascii="Sylfaen" w:hAnsi="Sylfaen"/>
          <w:sz w:val="16"/>
          <w:szCs w:val="16"/>
        </w:rPr>
        <w:t>MSH)</w:t>
      </w:r>
      <w:r w:rsidRPr="00284763">
        <w:rPr>
          <w:rFonts w:ascii="Sylfaen" w:hAnsi="Sylfaen"/>
          <w:sz w:val="16"/>
          <w:szCs w:val="16"/>
          <w:lang w:val="ka-GE"/>
        </w:rPr>
        <w:t xml:space="preserve"> </w:t>
      </w:r>
      <w:r w:rsidRPr="00284763">
        <w:rPr>
          <w:rFonts w:ascii="Sylfaen" w:hAnsi="Sylfaen"/>
          <w:sz w:val="16"/>
          <w:szCs w:val="16"/>
        </w:rPr>
        <w:t xml:space="preserve"> </w:t>
      </w:r>
      <w:r w:rsidRPr="00284763">
        <w:rPr>
          <w:rFonts w:ascii="Sylfaen" w:hAnsi="Sylfaen"/>
          <w:sz w:val="16"/>
          <w:szCs w:val="16"/>
          <w:lang w:val="ka-GE"/>
        </w:rPr>
        <w:t>და ჯანმოს მიერ და ასახავს გასული წლის განმავლობაში მედიკამენტების ფასების ფართო სპექტრს წამლის მიმწოდებელებისგან მათ კატალოგებზე და პრეისკურანტებზე დაფუძნებით. ის ასევე შეიცავს ფასებს საერთაშორისო განვითარების სააგენტოებისა და სახელმწიფო სააგენტოებისგან, ხელს უწყობს რა წამლის საერთაშორისო ფასებზე ინფორმაციის ხელმისაწვდომობას, გაიდლაინის ძირითადი მიზანია დაეხმაროს სახელმწიფოებს ესენციური მედიკამენტების დაბალ ფასად შესყიდვაში  მაღალი პრევალენტობის დაავადებების პრევენციისა და მართვის ღონისძიებებზე მოსახლეობის ფინანსური ხელმისაწვდომობის უზრუნველსაყოფად.</w:t>
      </w:r>
      <w:r w:rsidRPr="00284763">
        <w:rPr>
          <w:rFonts w:ascii="Sylfaen" w:hAnsi="Sylfaen"/>
          <w:lang w:val="ka-G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20"/>
    <w:rsid w:val="001208EB"/>
    <w:rsid w:val="00213A59"/>
    <w:rsid w:val="002D450E"/>
    <w:rsid w:val="002E1303"/>
    <w:rsid w:val="003069AF"/>
    <w:rsid w:val="003B717D"/>
    <w:rsid w:val="00430378"/>
    <w:rsid w:val="004458A9"/>
    <w:rsid w:val="00615620"/>
    <w:rsid w:val="00622255"/>
    <w:rsid w:val="007016BB"/>
    <w:rsid w:val="00716849"/>
    <w:rsid w:val="007532D6"/>
    <w:rsid w:val="007915EB"/>
    <w:rsid w:val="00811D5A"/>
    <w:rsid w:val="00865FB9"/>
    <w:rsid w:val="009242E1"/>
    <w:rsid w:val="00962B3A"/>
    <w:rsid w:val="00C26DC6"/>
    <w:rsid w:val="00DC6A13"/>
    <w:rsid w:val="00DD2023"/>
    <w:rsid w:val="00DE4256"/>
    <w:rsid w:val="00EA48DC"/>
    <w:rsid w:val="00EF4D49"/>
    <w:rsid w:val="00F148A2"/>
    <w:rsid w:val="00FA69A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67A44-9B88-44D9-9F7B-EFDB0DFE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2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6156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D2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023"/>
    <w:rPr>
      <w:sz w:val="20"/>
      <w:szCs w:val="20"/>
      <w:lang w:val="en-GB"/>
    </w:rPr>
  </w:style>
  <w:style w:type="character" w:styleId="FootnoteReference">
    <w:name w:val="footnote reference"/>
    <w:basedOn w:val="DefaultParagraphFont"/>
    <w:uiPriority w:val="99"/>
    <w:semiHidden/>
    <w:unhideWhenUsed/>
    <w:rsid w:val="00DD2023"/>
    <w:rPr>
      <w:vertAlign w:val="superscript"/>
    </w:rPr>
  </w:style>
  <w:style w:type="character" w:styleId="Hyperlink">
    <w:name w:val="Hyperlink"/>
    <w:basedOn w:val="DefaultParagraphFont"/>
    <w:uiPriority w:val="99"/>
    <w:unhideWhenUsed/>
    <w:rsid w:val="00EF4D49"/>
    <w:rPr>
      <w:color w:val="0563C1" w:themeColor="hyperlink"/>
      <w:u w:val="single"/>
    </w:rPr>
  </w:style>
  <w:style w:type="paragraph" w:styleId="BalloonText">
    <w:name w:val="Balloon Text"/>
    <w:basedOn w:val="Normal"/>
    <w:link w:val="BalloonTextChar"/>
    <w:uiPriority w:val="99"/>
    <w:semiHidden/>
    <w:unhideWhenUsed/>
    <w:rsid w:val="00FA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A1"/>
    <w:rPr>
      <w:rFonts w:ascii="Segoe UI" w:hAnsi="Segoe UI" w:cs="Segoe UI"/>
      <w:sz w:val="18"/>
      <w:szCs w:val="18"/>
      <w:lang w:val="en-GB"/>
    </w:rPr>
  </w:style>
  <w:style w:type="paragraph" w:styleId="NoSpacing">
    <w:name w:val="No Spacing"/>
    <w:link w:val="NoSpacingChar"/>
    <w:uiPriority w:val="1"/>
    <w:qFormat/>
    <w:rsid w:val="00F148A2"/>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locked/>
    <w:rsid w:val="00F148A2"/>
    <w:rPr>
      <w:rFonts w:ascii="Calibri" w:eastAsia="Calibri" w:hAnsi="Calibri" w:cs="Times New Roman"/>
      <w:lang w:val="en-US"/>
    </w:rPr>
  </w:style>
  <w:style w:type="character" w:styleId="EndnoteReference">
    <w:name w:val="endnote reference"/>
    <w:basedOn w:val="DefaultParagraphFont"/>
    <w:uiPriority w:val="99"/>
    <w:unhideWhenUsed/>
    <w:rsid w:val="00F14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00207">
      <w:bodyDiv w:val="1"/>
      <w:marLeft w:val="0"/>
      <w:marRight w:val="0"/>
      <w:marTop w:val="0"/>
      <w:marBottom w:val="0"/>
      <w:divBdr>
        <w:top w:val="none" w:sz="0" w:space="0" w:color="auto"/>
        <w:left w:val="none" w:sz="0" w:space="0" w:color="auto"/>
        <w:bottom w:val="none" w:sz="0" w:space="0" w:color="auto"/>
        <w:right w:val="none" w:sz="0" w:space="0" w:color="auto"/>
      </w:divBdr>
    </w:div>
    <w:div w:id="384989961">
      <w:bodyDiv w:val="1"/>
      <w:marLeft w:val="0"/>
      <w:marRight w:val="0"/>
      <w:marTop w:val="0"/>
      <w:marBottom w:val="0"/>
      <w:divBdr>
        <w:top w:val="none" w:sz="0" w:space="0" w:color="auto"/>
        <w:left w:val="none" w:sz="0" w:space="0" w:color="auto"/>
        <w:bottom w:val="none" w:sz="0" w:space="0" w:color="auto"/>
        <w:right w:val="none" w:sz="0" w:space="0" w:color="auto"/>
      </w:divBdr>
    </w:div>
    <w:div w:id="643966229">
      <w:bodyDiv w:val="1"/>
      <w:marLeft w:val="0"/>
      <w:marRight w:val="0"/>
      <w:marTop w:val="0"/>
      <w:marBottom w:val="0"/>
      <w:divBdr>
        <w:top w:val="none" w:sz="0" w:space="0" w:color="auto"/>
        <w:left w:val="none" w:sz="0" w:space="0" w:color="auto"/>
        <w:bottom w:val="none" w:sz="0" w:space="0" w:color="auto"/>
        <w:right w:val="none" w:sz="0" w:space="0" w:color="auto"/>
      </w:divBdr>
    </w:div>
    <w:div w:id="1537354736">
      <w:bodyDiv w:val="1"/>
      <w:marLeft w:val="0"/>
      <w:marRight w:val="0"/>
      <w:marTop w:val="0"/>
      <w:marBottom w:val="0"/>
      <w:divBdr>
        <w:top w:val="none" w:sz="0" w:space="0" w:color="auto"/>
        <w:left w:val="none" w:sz="0" w:space="0" w:color="auto"/>
        <w:bottom w:val="none" w:sz="0" w:space="0" w:color="auto"/>
        <w:right w:val="none" w:sz="0" w:space="0" w:color="auto"/>
      </w:divBdr>
    </w:div>
    <w:div w:id="1593320384">
      <w:bodyDiv w:val="1"/>
      <w:marLeft w:val="0"/>
      <w:marRight w:val="0"/>
      <w:marTop w:val="0"/>
      <w:marBottom w:val="0"/>
      <w:divBdr>
        <w:top w:val="none" w:sz="0" w:space="0" w:color="auto"/>
        <w:left w:val="none" w:sz="0" w:space="0" w:color="auto"/>
        <w:bottom w:val="none" w:sz="0" w:space="0" w:color="auto"/>
        <w:right w:val="none" w:sz="0" w:space="0" w:color="auto"/>
      </w:divBdr>
    </w:div>
    <w:div w:id="19176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about/licensing/copyright_form/index.html" TargetMode="External"/><Relationship Id="rId3" Type="http://schemas.openxmlformats.org/officeDocument/2006/relationships/settings" Target="settings.xml"/><Relationship Id="rId7" Type="http://schemas.openxmlformats.org/officeDocument/2006/relationships/hyperlink" Target="http://www.who.int/about/licensing/copyright_form/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who.int/medicines/areas/access/ecofi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651A-D043-4C95-8628-3FF882BE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Amiran Gamkrelidze</cp:lastModifiedBy>
  <cp:revision>2</cp:revision>
  <cp:lastPrinted>2018-01-29T14:31:00Z</cp:lastPrinted>
  <dcterms:created xsi:type="dcterms:W3CDTF">2018-01-29T16:52:00Z</dcterms:created>
  <dcterms:modified xsi:type="dcterms:W3CDTF">2018-01-29T16:52:00Z</dcterms:modified>
</cp:coreProperties>
</file>